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pStyle w:val="983"/>
        <w:ind w:firstLine="0"/>
        <w:jc w:val="center"/>
        <w:rPr>
          <w:rFonts w:hint="eastAsia" w:ascii="宋体" w:hAnsi="宋体" w:eastAsia="宋体" w:cs="宋体"/>
          <w:b/>
          <w:bCs/>
          <w:sz w:val="84"/>
        </w:rPr>
      </w:pPr>
      <w:r>
        <w:rPr>
          <w:rFonts w:hint="eastAsia" w:ascii="宋体" w:hAnsi="宋体" w:eastAsia="宋体" w:cs="宋体"/>
          <w:b/>
          <w:bCs/>
          <w:sz w:val="84"/>
        </w:rPr>
      </w:r>
      <w:r/>
    </w:p>
    <w:p>
      <w:pPr>
        <w:pStyle w:val="983"/>
        <w:ind w:firstLine="0"/>
        <w:jc w:val="center"/>
        <w:rPr>
          <w:rFonts w:hint="eastAsia" w:ascii="宋体" w:hAnsi="宋体" w:eastAsia="宋体" w:cs="宋体"/>
          <w:b/>
          <w:bCs/>
          <w:sz w:val="84"/>
        </w:rPr>
      </w:pPr>
      <w:r>
        <w:rPr>
          <w:rFonts w:hint="eastAsia" w:ascii="宋体" w:hAnsi="宋体" w:eastAsia="宋体" w:cs="宋体"/>
          <w:b/>
          <w:bCs/>
          <w:sz w:val="84"/>
        </w:rPr>
      </w:r>
      <w:r/>
    </w:p>
    <w:p>
      <w:pPr>
        <w:pStyle w:val="983"/>
        <w:ind w:firstLine="0"/>
        <w:jc w:val="center"/>
        <w:rPr>
          <w:rFonts w:hint="eastAsia" w:ascii="宋体" w:hAnsi="宋体" w:eastAsia="宋体" w:cs="宋体"/>
          <w:b/>
          <w:bCs/>
          <w:sz w:val="84"/>
        </w:rPr>
      </w:pPr>
      <w:r>
        <w:rPr>
          <w:rFonts w:hint="eastAsia" w:ascii="宋体" w:hAnsi="宋体" w:eastAsia="宋体" w:cs="宋体"/>
          <w:b/>
          <w:bCs/>
          <w:sz w:val="84"/>
        </w:rPr>
        <w:t xml:space="preserve">招　标　文　件</w:t>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jc w:val="both"/>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项目名称：</w:t>
      </w:r>
      <w:r>
        <w:rPr>
          <w:rFonts w:hint="eastAsia" w:ascii="宋体" w:hAnsi="宋体" w:eastAsia="宋体" w:cs="宋体"/>
          <w:bCs/>
          <w:sz w:val="32"/>
          <w:szCs w:val="32"/>
          <w:lang w:eastAsia="zh-CN"/>
        </w:rPr>
        <w:t xml:space="preserve">徐圩新区2026-2028年政策性农业保险服务</w:t>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项目编号：JSZC-320700-JSYA-G2025-0008</w:t>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ind w:left="638" w:firstLine="0"/>
        <w:spacing w:line="480" w:lineRule="auto"/>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rPr>
        <w:t xml:space="preserve">采</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 xml:space="preserve">购</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 xml:space="preserve">人：</w:t>
      </w:r>
      <w:r>
        <w:rPr>
          <w:rFonts w:hint="eastAsia" w:ascii="宋体" w:hAnsi="宋体" w:eastAsia="宋体" w:cs="宋体"/>
          <w:b w:val="0"/>
          <w:bCs w:val="0"/>
          <w:color w:val="000000"/>
          <w:sz w:val="32"/>
          <w:szCs w:val="32"/>
          <w:highlight w:val="none"/>
          <w:lang w:val="en-US" w:eastAsia="zh-CN"/>
        </w:rPr>
        <w:t xml:space="preserve">国家东中西区域合作示范区（连云港徐圩新区）社会事业局</w:t>
      </w:r>
      <w:r/>
    </w:p>
    <w:p>
      <w:pPr>
        <w:ind w:firstLine="640"/>
        <w:jc w:val="both"/>
        <w:spacing w:line="480" w:lineRule="auto"/>
        <w:rPr>
          <w:rFonts w:hint="eastAsia" w:ascii="宋体" w:hAnsi="宋体" w:eastAsia="宋体" w:cs="宋体"/>
          <w:b w:val="0"/>
          <w:bCs w:val="0"/>
          <w:color w:val="000000"/>
          <w:sz w:val="32"/>
          <w:szCs w:val="32"/>
          <w:highlight w:val="none"/>
          <w:lang w:eastAsia="zh-CN"/>
        </w:rPr>
      </w:pPr>
      <w:r>
        <w:rPr>
          <w:rFonts w:hint="eastAsia" w:ascii="宋体" w:hAnsi="宋体" w:eastAsia="宋体" w:cs="宋体"/>
          <w:b w:val="0"/>
          <w:bCs w:val="0"/>
          <w:color w:val="000000"/>
          <w:sz w:val="32"/>
          <w:szCs w:val="32"/>
          <w:highlight w:val="none"/>
        </w:rPr>
        <w:t xml:space="preserve">采购代理机构：</w:t>
      </w:r>
      <w:r>
        <w:rPr>
          <w:rFonts w:hint="eastAsia" w:ascii="宋体" w:hAnsi="宋体" w:eastAsia="宋体" w:cs="宋体"/>
          <w:b w:val="0"/>
          <w:bCs w:val="0"/>
          <w:color w:val="000000"/>
          <w:sz w:val="32"/>
          <w:szCs w:val="32"/>
          <w:highlight w:val="none"/>
          <w:lang w:eastAsia="zh-CN"/>
        </w:rPr>
        <w:t xml:space="preserve">江苏永安工程项目管理有限公司</w:t>
      </w:r>
      <w:r/>
    </w:p>
    <w:p>
      <w:pPr>
        <w:jc w:val="center"/>
        <w:rPr>
          <w:rFonts w:hint="eastAsia" w:ascii="宋体" w:hAnsi="宋体" w:eastAsia="宋体" w:cs="宋体"/>
          <w:u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b/>
          <w:bCs/>
          <w:sz w:val="32"/>
          <w:szCs w:val="24"/>
          <w:u w:val="none"/>
        </w:rPr>
        <w:t xml:space="preserve">2025年 </w:t>
      </w:r>
      <w:r>
        <w:rPr>
          <w:rFonts w:hint="eastAsia" w:ascii="宋体" w:hAnsi="宋体" w:eastAsia="宋体" w:cs="宋体"/>
          <w:b/>
          <w:bCs/>
          <w:sz w:val="32"/>
          <w:szCs w:val="24"/>
          <w:u w:val="none"/>
          <w:lang w:val="en-US" w:eastAsia="zh-CN"/>
        </w:rPr>
        <w:t xml:space="preserve">12</w:t>
      </w:r>
      <w:r>
        <w:rPr>
          <w:rFonts w:hint="eastAsia" w:ascii="宋体" w:hAnsi="宋体" w:eastAsia="宋体" w:cs="宋体"/>
          <w:b/>
          <w:bCs/>
          <w:sz w:val="32"/>
          <w:szCs w:val="24"/>
          <w:u w:val="none"/>
        </w:rPr>
        <w:t xml:space="preserve">月</w:t>
      </w:r>
      <w:r/>
    </w:p>
    <w:sdt>
      <w:sdtPr>
        <w15:appearance w15:val="boundingBox"/>
        <w15:color w:val="dbdbdb"/>
        <w:id w:val="147477088"/>
        <w:docPartObj>
          <w:docPartGallery w:val="Table of Contents"/>
          <w:docPartUnique w:val="true"/>
        </w:docPartObj>
        <w:rPr>
          <w:rFonts w:hint="default"/>
          <w:sz w:val="40"/>
          <w:szCs w:val="40"/>
          <w:lang w:val="en-US" w:eastAsia="zh-CN"/>
        </w:rPr>
      </w:sdtPr>
      <w:sdtContent>
        <w:p>
          <w:pPr>
            <w:pStyle w:val="791"/>
            <w:jc w:val="center"/>
            <w:rPr>
              <w:sz w:val="40"/>
              <w:szCs w:val="40"/>
            </w:rPr>
          </w:pPr>
          <w:r>
            <w:rPr>
              <w:sz w:val="40"/>
              <w:szCs w:val="40"/>
            </w:rPr>
            <w:t xml:space="preserve">目</w:t>
          </w:r>
          <w:r>
            <w:rPr>
              <w:rFonts w:hint="eastAsia" w:eastAsia="宋体"/>
              <w:sz w:val="40"/>
              <w:szCs w:val="40"/>
              <w:lang w:val="en-US" w:eastAsia="zh-CN"/>
            </w:rPr>
            <w:t xml:space="preserve">   </w:t>
          </w:r>
          <w:r>
            <w:rPr>
              <w:sz w:val="40"/>
              <w:szCs w:val="40"/>
            </w:rPr>
            <w:t xml:space="preserve">录</w:t>
          </w:r>
          <w:r/>
        </w:p>
        <w:p>
          <w:pPr>
            <w:pStyle w:val="815"/>
            <w:spacing w:line="480" w:lineRule="auto"/>
            <w:tabs>
              <w:tab w:val="right" w:pos="8306" w:leader="dot"/>
            </w:tabs>
            <w:rPr>
              <w:rFonts w:hint="eastAsia" w:ascii="宋体" w:hAnsi="宋体" w:eastAsia="宋体" w:cs="宋体"/>
              <w:sz w:val="32"/>
              <w:szCs w:val="32"/>
            </w:rPr>
          </w:pPr>
          <w:r>
            <w:fldChar w:fldCharType="begin"/>
          </w:r>
          <w:r>
            <w:instrText xml:space="preserve">TOC \o "1-3" \h \u </w:instrText>
          </w:r>
          <w: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_Toc11662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_Toc11662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_Toc26018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_Toc26018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_Toc10575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_Toc10575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_Toc11244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_Toc11244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_Toc3341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sz w:val="20"/>
              <w:szCs w:val="21"/>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_Toc29841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_Toc29841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tabs>
              <w:tab w:val="right" w:pos="8306" w:leader="dot"/>
            </w:tabs>
          </w:pPr>
          <w:r/>
          <w:r/>
        </w:p>
        <w:p>
          <w:r>
            <w:fldChar w:fldCharType="end"/>
          </w:r>
          <w:r/>
        </w:p>
      </w:sdtContent>
    </w:sdt>
    <w:p>
      <w:r/>
      <w:r/>
    </w:p>
    <w:p>
      <w:pPr>
        <w:jc w:val="left"/>
        <w:widowControl/>
        <w:rPr>
          <w:rFonts w:hint="eastAsia" w:ascii="宋体" w:hAnsi="宋体" w:eastAsia="宋体" w:cs="宋体"/>
        </w:rPr>
      </w:pPr>
      <w:r>
        <w:rPr>
          <w:rFonts w:hint="eastAsia" w:ascii="宋体" w:hAnsi="宋体" w:eastAsia="宋体" w:cs="宋体"/>
        </w:rPr>
        <w:br w:type="page" w:clear="all"/>
      </w:r>
      <w:r/>
    </w:p>
    <w:p>
      <w:pPr>
        <w:jc w:val="center"/>
        <w:keepLines/>
        <w:keepNext/>
        <w:spacing w:before="156" w:after="156" w:line="360" w:lineRule="auto"/>
        <w:widowControl w:val="off"/>
        <w:rPr>
          <w:rFonts w:hint="eastAsia" w:ascii="宋体" w:hAnsi="宋体" w:eastAsia="宋体" w:cs="宋体"/>
          <w:b w:val="0"/>
          <w:bCs/>
          <w:sz w:val="44"/>
          <w:szCs w:val="44"/>
          <w:lang w:val="en-US" w:eastAsia="zh-CN" w:bidi="ar-SA"/>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outlineLvl w:val="9"/>
      </w:pPr>
      <w:r/>
      <w:bookmarkStart w:id="0" w:name="_Toc155796356"/>
      <w:r/>
      <w:r/>
    </w:p>
    <w:p>
      <w:pPr>
        <w:pStyle w:val="790"/>
        <w:jc w:val="center"/>
        <w:spacing w:before="156" w:after="156" w:line="360" w:lineRule="auto"/>
        <w:rPr>
          <w:rFonts w:hint="eastAsia" w:ascii="宋体" w:hAnsi="宋体" w:eastAsia="宋体" w:cs="宋体"/>
          <w:b w:val="0"/>
        </w:rPr>
      </w:pPr>
      <w:r/>
      <w:bookmarkStart w:id="1" w:name="_Toc31564"/>
      <w:r/>
      <w:bookmarkStart w:id="2" w:name="_Toc11662"/>
      <w:r>
        <w:rPr>
          <w:rFonts w:hint="eastAsia" w:ascii="宋体" w:hAnsi="宋体" w:eastAsia="宋体" w:cs="宋体"/>
          <w:b w:val="0"/>
        </w:rPr>
        <w:t xml:space="preserve">第一章投标邀请</w:t>
      </w:r>
      <w:bookmarkEnd w:id="0"/>
      <w:r/>
      <w:bookmarkEnd w:id="1"/>
      <w:r/>
      <w:bookmarkEnd w:id="2"/>
      <w:r/>
      <w:r/>
    </w:p>
    <w:tbl>
      <w:tblPr>
        <w:tblStyle w:val="827"/>
        <w:tblW w:w="93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4"/>
      </w:tblGrid>
      <w:tr>
        <w:trPr/>
        <w:tc>
          <w:tcPr>
            <w:tcW w:w="9374" w:type="dxa"/>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徐圩新区2026-2028年政策性农业保险服务</w:t>
            </w:r>
            <w:r>
              <w:rPr>
                <w:rFonts w:hint="eastAsia" w:ascii="宋体" w:hAnsi="宋体" w:eastAsia="宋体" w:cs="宋体"/>
                <w:sz w:val="24"/>
                <w:szCs w:val="24"/>
              </w:rPr>
              <w:t xml:space="preserve">的潜在投标人可在“江苏政府采购网”自行免费下载招标文件，</w:t>
            </w:r>
            <w:r>
              <w:rPr>
                <w:rFonts w:hint="eastAsia" w:ascii="宋体" w:hAnsi="宋体" w:eastAsia="宋体" w:cs="宋体"/>
                <w:color w:val="auto"/>
                <w:sz w:val="24"/>
                <w:szCs w:val="24"/>
              </w:rPr>
              <w:t xml:space="preserve">并于2025年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:00:00（北京时间）前递交（上传）投标文件。</w:t>
            </w:r>
            <w:r/>
          </w:p>
        </w:tc>
      </w:tr>
    </w:tbl>
    <w:p>
      <w:pPr>
        <w:spacing w:line="500" w:lineRule="exact"/>
        <w:rPr>
          <w:rFonts w:hint="eastAsia" w:ascii="宋体" w:hAnsi="宋体" w:eastAsia="宋体" w:cs="宋体"/>
          <w:b/>
          <w:bCs/>
          <w:sz w:val="32"/>
          <w:szCs w:val="32"/>
        </w:rPr>
        <w:outlineLvl w:val="0"/>
      </w:pPr>
      <w:r/>
      <w:bookmarkStart w:id="3" w:name="_Toc1145"/>
      <w:r>
        <w:rPr>
          <w:rFonts w:hint="eastAsia" w:ascii="宋体" w:hAnsi="宋体" w:eastAsia="宋体" w:cs="宋体"/>
          <w:b/>
          <w:bCs/>
          <w:sz w:val="32"/>
          <w:szCs w:val="32"/>
        </w:rPr>
        <w:t xml:space="preserve">一、项目基本情况</w:t>
      </w:r>
      <w:bookmarkEnd w:id="3"/>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val="en-US" w:eastAsia="zh-CN"/>
        </w:rPr>
        <w:t xml:space="preserve"> </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徐圩新区2026-2028年政策性农业保险服务</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3.预算金额：</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492.39</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492.39</w:t>
      </w:r>
      <w:r>
        <w:rPr>
          <w:rFonts w:hint="eastAsia" w:ascii="宋体" w:hAnsi="宋体" w:eastAsia="宋体" w:cs="宋体"/>
          <w:sz w:val="24"/>
          <w:highlight w:val="none"/>
        </w:rPr>
        <w:t xml:space="preserve">万元，报价超过</w:t>
      </w:r>
      <w:r>
        <w:rPr>
          <w:rFonts w:hint="eastAsia" w:ascii="宋体" w:hAnsi="宋体" w:eastAsia="宋体" w:cs="宋体"/>
          <w:sz w:val="24"/>
          <w:highlight w:val="none"/>
          <w:lang w:val="en-US" w:eastAsia="zh-CN"/>
        </w:rPr>
        <w:t xml:space="preserve">最高限价</w:t>
      </w:r>
      <w:r>
        <w:rPr>
          <w:rFonts w:hint="eastAsia" w:ascii="宋体" w:hAnsi="宋体" w:eastAsia="宋体" w:cs="宋体"/>
          <w:sz w:val="24"/>
          <w:highlight w:val="none"/>
        </w:rPr>
        <w:t xml:space="preserve">的按无效</w:t>
      </w:r>
      <w:r>
        <w:rPr>
          <w:rFonts w:hint="eastAsia" w:ascii="宋体" w:hAnsi="宋体" w:eastAsia="宋体" w:cs="宋体"/>
          <w:sz w:val="24"/>
          <w:highlight w:val="none"/>
          <w:lang w:val="en-US" w:eastAsia="zh-CN"/>
        </w:rPr>
        <w:t xml:space="preserve">标</w:t>
      </w:r>
      <w:r>
        <w:rPr>
          <w:rFonts w:hint="eastAsia" w:ascii="宋体" w:hAnsi="宋体" w:eastAsia="宋体" w:cs="宋体"/>
          <w:sz w:val="24"/>
          <w:highlight w:val="none"/>
        </w:rPr>
        <w:t xml:space="preserve">处理</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w:t>
      </w:r>
      <w:r>
        <w:rPr>
          <w:rFonts w:hint="eastAsia" w:ascii="宋体" w:hAnsi="宋体" w:eastAsia="宋体" w:cs="宋体"/>
          <w:sz w:val="24"/>
          <w:szCs w:val="24"/>
          <w:highlight w:val="none"/>
          <w:lang w:eastAsia="zh-CN"/>
        </w:rPr>
        <w:t xml:space="preserve">徐圩新区2026-2028年政策性农业保险服务</w:t>
      </w:r>
      <w:r>
        <w:rPr>
          <w:rFonts w:hint="eastAsia" w:ascii="宋体" w:hAnsi="宋体" w:eastAsia="宋体" w:cs="宋体"/>
          <w:sz w:val="24"/>
          <w:szCs w:val="24"/>
          <w:highlight w:val="none"/>
        </w:rPr>
        <w:t xml:space="preserve">；包括不限于水稻、小麦、玉米等主要种植业保险，育肥猪等主要养殖业保险，设施大棚等政策性（财政奖补保费）险种，以及根据上级有关规定及本地实际情况增设的奖补险种。</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对本项目资格要求、采购需求、评标方法与评标标准等部分的询问、质疑请与采购人联系，由采购人负责答复。</w:t>
      </w:r>
      <w:r/>
    </w:p>
    <w:p>
      <w:pPr>
        <w:numPr>
          <w:ilvl w:val="0"/>
          <w:numId w:val="1"/>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年（根据上年度保险到期日签订保单）。</w:t>
      </w:r>
      <w:r/>
    </w:p>
    <w:p>
      <w:pPr>
        <w:numPr>
          <w:ilvl w:val="0"/>
          <w:numId w:val="1"/>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rPr>
        <w:t xml:space="preserve">接受联合体投标。</w:t>
      </w:r>
      <w:r/>
    </w:p>
    <w:p>
      <w:pPr>
        <w:spacing w:line="500" w:lineRule="exact"/>
        <w:rPr>
          <w:rFonts w:hint="eastAsia" w:ascii="宋体" w:hAnsi="宋体" w:eastAsia="宋体" w:cs="宋体"/>
          <w:b/>
          <w:bCs/>
          <w:sz w:val="32"/>
          <w:szCs w:val="32"/>
        </w:rPr>
        <w:outlineLvl w:val="0"/>
      </w:pPr>
      <w:r/>
      <w:bookmarkStart w:id="4" w:name="_Toc30512"/>
      <w:r>
        <w:rPr>
          <w:rFonts w:hint="eastAsia" w:ascii="宋体" w:hAnsi="宋体" w:eastAsia="宋体" w:cs="宋体"/>
          <w:b/>
          <w:bCs/>
          <w:sz w:val="32"/>
          <w:szCs w:val="32"/>
        </w:rPr>
        <w:t xml:space="preserve">二、申请人的资格要求</w:t>
      </w:r>
      <w:bookmarkEnd w:id="4"/>
      <w:r/>
      <w:r/>
    </w:p>
    <w:p>
      <w:pPr>
        <w:ind w:firstLine="240"/>
        <w:spacing w:line="500" w:lineRule="exact"/>
        <w:rPr>
          <w:rFonts w:hint="eastAsia" w:ascii="宋体" w:hAnsi="宋体" w:eastAsia="宋体" w:cs="宋体"/>
          <w:sz w:val="24"/>
          <w:szCs w:val="24"/>
        </w:rPr>
        <w:outlineLvl w:val="1"/>
      </w:pPr>
      <w:r/>
      <w:bookmarkStart w:id="5" w:name="_Toc28372"/>
      <w:r>
        <w:rPr>
          <w:rFonts w:hint="eastAsia" w:ascii="宋体" w:hAnsi="宋体" w:eastAsia="宋体" w:cs="宋体"/>
          <w:sz w:val="24"/>
          <w:szCs w:val="24"/>
        </w:rPr>
        <w:t xml:space="preserve">（一）通用资格要求</w:t>
      </w:r>
      <w:bookmarkEnd w:id="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1.1法人或者其他组织的营业执照等证明文件，自然人的身份证明；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2023或2024年度的财务状况报告（成立不满一年无需提供）；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val="en-US" w:eastAsia="zh-CN"/>
        </w:rPr>
        <w:t xml:space="preserve">本项目非专门面向中小企业采购。</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本项目的特定资格要求：</w:t>
      </w:r>
      <w:r/>
    </w:p>
    <w:p>
      <w:pPr>
        <w:ind w:firstLine="4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）投标人经保险监管机构批准经营（提供保险监督管理机构颁发的《保险许可证》）；</w:t>
      </w:r>
      <w:r/>
    </w:p>
    <w:p>
      <w:pPr>
        <w:ind w:firstLine="4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投标人或投标人的上级公司必须符合中国银保监会江苏监管局规定的农业保险业务经营条件。（提供符合中国银保监会江苏监管局规定的农业保险业务经营条件的证明或符合江苏省农业保险业务经营条件的上级公司出具的授权委托证明）。</w:t>
      </w:r>
      <w:r/>
    </w:p>
    <w:p>
      <w:pPr>
        <w:ind w:firstLine="480"/>
        <w:spacing w:line="5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）总公司与中国农业再保险股份有限公司签署当期有效的《政策性农业保险再保险标准协议》。</w:t>
      </w:r>
      <w:r/>
    </w:p>
    <w:p>
      <w:pPr>
        <w:ind w:firstLine="480"/>
        <w:spacing w:line="560" w:lineRule="exact"/>
        <w:rPr>
          <w:rFonts w:hint="default" w:ascii="宋体" w:hAnsi="宋体" w:eastAsia="宋体" w:cs="Times New Roman"/>
          <w:color w:val="ff0000"/>
          <w:sz w:val="24"/>
          <w:szCs w:val="24"/>
          <w:lang w:val="en-US"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lang w:eastAsia="zh-CN"/>
        </w:rPr>
        <w:t xml:space="preserve">）投标人或投标人上级公司按照财政部《农业保险大灾风险准备金管理办法》规定，计提、使用、管理农业保险大灾风险准备金。</w:t>
      </w:r>
      <w:r>
        <w:rPr>
          <w:rFonts w:hint="eastAsia" w:ascii="宋体" w:hAnsi="宋体" w:eastAsia="宋体" w:cs="Times New Roman"/>
          <w:color w:val="auto"/>
          <w:sz w:val="24"/>
          <w:szCs w:val="24"/>
          <w:lang w:val="en-US" w:eastAsia="zh-CN"/>
        </w:rPr>
        <w:t xml:space="preserve">提供投标人或投标人上级公司向省财政部门报送的2024年度大灾风险准备金的计提、使用、管理等情况的报告。</w:t>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）同一保险集团公司的不同分（子）公司，不得同时参加本项目投标，否则投标无效；</w:t>
      </w:r>
      <w:r/>
    </w:p>
    <w:p>
      <w:pPr>
        <w:ind w:firstLine="480"/>
        <w:spacing w:line="560" w:lineRule="exact"/>
        <w:rPr>
          <w:rFonts w:ascii="宋体" w:hAnsi="宋体" w:eastAsia="宋体" w:cs="Times New Roman"/>
          <w:sz w:val="24"/>
          <w:szCs w:val="28"/>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p>
    <w:p>
      <w:pPr>
        <w:ind w:firstLine="480"/>
        <w:jc w:val="left"/>
        <w:spacing w:line="500" w:lineRule="exact"/>
        <w:rPr>
          <w:rFonts w:hint="eastAsia" w:ascii="宋体" w:hAnsi="宋体" w:eastAsia="宋体" w:cs="宋体"/>
          <w:sz w:val="24"/>
          <w:szCs w:val="24"/>
        </w:rPr>
        <w:outlineLvl w:val="1"/>
      </w:pPr>
      <w:r/>
      <w:bookmarkStart w:id="6" w:name="_Toc13821"/>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本项目的其他资格要求：</w:t>
      </w:r>
      <w:bookmarkEnd w:id="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numPr>
          <w:ilvl w:val="0"/>
          <w:numId w:val="2"/>
        </w:num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投标人须满足江苏省财政厅、江苏省农业农村局发布的苏财金【2024】144号文规定的参选资格条件。（提供承诺书，格式自拟）</w:t>
      </w:r>
      <w:r/>
    </w:p>
    <w:p>
      <w:pPr>
        <w:numPr>
          <w:ilvl w:val="0"/>
          <w:numId w:val="2"/>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成交后不允许分包或转包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不接受联合体投标</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法律、法规规定的其他条件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如有，请按要求提供</w:t>
      </w:r>
      <w:r>
        <w:rPr>
          <w:rFonts w:hint="eastAsia" w:ascii="宋体" w:hAnsi="宋体" w:eastAsia="宋体" w:cs="宋体"/>
          <w:sz w:val="24"/>
          <w:szCs w:val="24"/>
          <w:lang w:eastAsia="zh-CN"/>
        </w:rPr>
        <w:t xml:space="preserve">）</w:t>
      </w:r>
      <w:r/>
    </w:p>
    <w:p>
      <w:pPr>
        <w:spacing w:line="500" w:lineRule="exact"/>
        <w:rPr>
          <w:rFonts w:hint="eastAsia" w:ascii="宋体" w:hAnsi="宋体" w:eastAsia="宋体" w:cs="宋体"/>
          <w:b/>
          <w:bCs/>
          <w:sz w:val="32"/>
          <w:szCs w:val="32"/>
        </w:rPr>
        <w:outlineLvl w:val="0"/>
      </w:pPr>
      <w:r/>
      <w:bookmarkStart w:id="7" w:name="_Toc15856"/>
      <w:r>
        <w:rPr>
          <w:rFonts w:hint="eastAsia" w:ascii="宋体" w:hAnsi="宋体" w:eastAsia="宋体" w:cs="宋体"/>
          <w:b/>
          <w:bCs/>
          <w:sz w:val="32"/>
          <w:szCs w:val="32"/>
        </w:rPr>
        <w:t xml:space="preserve">三、获取招标文件</w:t>
      </w:r>
      <w:bookmarkEnd w:id="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color w:val="auto"/>
          <w:sz w:val="24"/>
          <w:szCs w:val="24"/>
        </w:rPr>
        <w:t xml:space="preserve">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4 </w:t>
      </w:r>
      <w:r>
        <w:rPr>
          <w:rFonts w:hint="eastAsia" w:ascii="宋体" w:hAnsi="宋体" w:eastAsia="宋体" w:cs="宋体"/>
          <w:color w:val="auto"/>
          <w:sz w:val="24"/>
          <w:szCs w:val="24"/>
        </w:rPr>
        <w:t xml:space="preserve">日-2025年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日23:59</w:t>
      </w:r>
      <w:r>
        <w:rPr>
          <w:rFonts w:hint="eastAsia" w:ascii="宋体" w:hAnsi="宋体" w:eastAsia="宋体" w:cs="宋体"/>
          <w:color w:val="auto"/>
          <w:sz w:val="24"/>
          <w:szCs w:val="24"/>
          <w:lang w:val="en-US" w:eastAsia="zh-CN"/>
        </w:rPr>
        <w:t xml:space="preserve">止</w:t>
      </w:r>
      <w:r>
        <w:rPr>
          <w:rFonts w:hint="eastAsia" w:ascii="宋体" w:hAnsi="宋体" w:eastAsia="宋体" w:cs="宋体"/>
          <w:sz w:val="24"/>
          <w:szCs w:val="24"/>
        </w:rPr>
        <w:t xml:space="preserve">（北京时间）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方式：在“江苏政府采购网”自行免费下载招标文件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地点：投标人办理江苏省政府采购交易系统CA数字证书，登录“苏采云”政府采购交易系统，自行下载。</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spacing w:line="500" w:lineRule="exact"/>
        <w:rPr>
          <w:rFonts w:hint="eastAsia" w:ascii="宋体" w:hAnsi="宋体" w:eastAsia="宋体" w:cs="宋体"/>
          <w:b/>
          <w:bCs/>
          <w:sz w:val="32"/>
          <w:szCs w:val="32"/>
        </w:rPr>
        <w:outlineLvl w:val="0"/>
      </w:pPr>
      <w:r/>
      <w:bookmarkStart w:id="8" w:name="_Toc5825"/>
      <w:r>
        <w:rPr>
          <w:rFonts w:hint="eastAsia" w:ascii="宋体" w:hAnsi="宋体" w:eastAsia="宋体" w:cs="宋体"/>
          <w:b/>
          <w:bCs/>
          <w:sz w:val="32"/>
          <w:szCs w:val="32"/>
        </w:rPr>
        <w:t xml:space="preserve">四、提交投标文件截止时间、开标时间和地点</w:t>
      </w:r>
      <w:bookmarkEnd w:id="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提交投标文件截止时间：</w:t>
      </w:r>
      <w:r>
        <w:rPr>
          <w:rFonts w:hint="eastAsia" w:ascii="宋体" w:hAnsi="宋体" w:eastAsia="宋体" w:cs="宋体"/>
          <w:color w:val="auto"/>
          <w:sz w:val="24"/>
          <w:szCs w:val="24"/>
        </w:rPr>
        <w:t xml:space="preserve">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:00:00</w:t>
      </w:r>
      <w:r>
        <w:rPr>
          <w:rFonts w:hint="eastAsia" w:ascii="宋体" w:hAnsi="宋体" w:eastAsia="宋体" w:cs="宋体"/>
          <w:sz w:val="24"/>
          <w:szCs w:val="24"/>
        </w:rPr>
        <w:t xml:space="preserve">（北京时间）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开标时间：提交投标文件截止时间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开标地点：“苏采云”政府采购交易系统网上开标大厅</w:t>
      </w:r>
      <w:r/>
    </w:p>
    <w:p>
      <w:pPr>
        <w:spacing w:line="500" w:lineRule="exact"/>
        <w:rPr>
          <w:rFonts w:hint="eastAsia" w:ascii="宋体" w:hAnsi="宋体" w:eastAsia="宋体" w:cs="宋体"/>
          <w:b/>
          <w:bCs/>
          <w:sz w:val="32"/>
          <w:szCs w:val="32"/>
        </w:rPr>
        <w:outlineLvl w:val="0"/>
      </w:pPr>
      <w:r/>
      <w:bookmarkStart w:id="9" w:name="_Toc24454"/>
      <w:r>
        <w:rPr>
          <w:rFonts w:hint="eastAsia" w:ascii="宋体" w:hAnsi="宋体" w:eastAsia="宋体" w:cs="宋体"/>
          <w:b/>
          <w:bCs/>
          <w:sz w:val="32"/>
          <w:szCs w:val="32"/>
        </w:rPr>
        <w:t xml:space="preserve">五、公告期限</w:t>
      </w:r>
      <w:bookmarkEnd w:id="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bookmarkStart w:id="109" w:name="_GoBack"/>
      <w:r/>
      <w:bookmarkEnd w:id="109"/>
      <w:r/>
      <w:r/>
    </w:p>
    <w:p>
      <w:pPr>
        <w:spacing w:line="500" w:lineRule="exact"/>
        <w:rPr>
          <w:rFonts w:hint="eastAsia" w:ascii="宋体" w:hAnsi="宋体" w:eastAsia="宋体" w:cs="宋体"/>
          <w:b/>
          <w:bCs/>
          <w:sz w:val="32"/>
          <w:szCs w:val="32"/>
        </w:rPr>
        <w:outlineLvl w:val="0"/>
      </w:pPr>
      <w:r/>
      <w:bookmarkStart w:id="10" w:name="_Toc23547"/>
      <w:r>
        <w:rPr>
          <w:rFonts w:hint="eastAsia" w:ascii="宋体" w:hAnsi="宋体" w:eastAsia="宋体" w:cs="宋体"/>
          <w:b/>
          <w:bCs/>
          <w:sz w:val="32"/>
          <w:szCs w:val="32"/>
        </w:rPr>
        <w:t xml:space="preserve">六、其他补充事宜</w:t>
      </w:r>
      <w:bookmarkEnd w:id="1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2.本招标文件中</w:t>
      </w:r>
      <w:r>
        <w:rPr>
          <w:rFonts w:hint="eastAsia" w:ascii="宋体" w:hAnsi="宋体" w:eastAsia="宋体" w:cs="宋体"/>
          <w:sz w:val="24"/>
        </w:rPr>
        <w:t xml:space="preserve">标注★的款项</w:t>
      </w:r>
      <w:r>
        <w:rPr>
          <w:rFonts w:hint="eastAsia" w:ascii="宋体" w:hAnsi="宋体" w:eastAsia="宋体" w:cs="宋体"/>
          <w:sz w:val="24"/>
          <w:szCs w:val="24"/>
        </w:rPr>
        <w:t xml:space="preserve">为实质性要求和条件，投标人须逐条做出满足实质性要求和条件的响应，否则将按无效响应处理。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 </w:instrText>
      </w:r>
      <w:r>
        <w:rPr>
          <w:rFonts w:hint="eastAsia" w:ascii="宋体" w:hAnsi="宋体" w:eastAsia="宋体" w:cs="宋体"/>
          <w:sz w:val="24"/>
          <w:szCs w:val="24"/>
        </w:rPr>
        <w:fldChar w:fldCharType="separate"/>
      </w:r>
      <w:r>
        <w:rPr>
          <w:rStyle w:val="829"/>
          <w:rFonts w:hint="eastAsia" w:ascii="宋体" w:hAnsi="宋体" w:eastAsia="宋体" w:cs="宋体"/>
          <w:color w:val="auto"/>
          <w:sz w:val="24"/>
          <w:szCs w:val="24"/>
        </w:rPr>
        <w:t xml:space="preserve">http://www.ccgp-jiangsu.gov.cn/jiangsu/zlxz/ee/ee3a4bc5a3454a</w:t>
      </w:r>
      <w:r>
        <w:rPr>
          <w:rFonts w:hint="eastAsia" w:ascii="宋体" w:hAnsi="宋体" w:eastAsia="宋体" w:cs="宋体"/>
          <w:sz w:val="24"/>
          <w:szCs w:val="24"/>
        </w:rPr>
        <w:fldChar w:fldCharType="end"/>
      </w:r>
      <w:r>
        <w:rPr>
          <w:rFonts w:hint="eastAsia" w:ascii="宋体" w:hAnsi="宋体" w:eastAsia="宋体" w:cs="宋体"/>
          <w:sz w:val="24"/>
          <w:szCs w:val="24"/>
        </w:rPr>
        <w:t xml:space="preserve">a2b0d9312230633ce9.html</w:t>
      </w:r>
      <w:r>
        <w:rPr>
          <w:rFonts w:hint="eastAsia" w:ascii="宋体" w:hAnsi="宋体" w:eastAsia="宋体" w:cs="宋体"/>
          <w:sz w:val="24"/>
          <w:szCs w:val="24"/>
          <w:lang w:eastAsia="zh-CN"/>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spacing w:line="500" w:lineRule="exact"/>
        <w:rPr>
          <w:rFonts w:hint="eastAsia" w:ascii="宋体" w:hAnsi="宋体" w:eastAsia="宋体" w:cs="宋体"/>
          <w:b/>
          <w:bCs/>
          <w:sz w:val="32"/>
          <w:szCs w:val="32"/>
        </w:rPr>
        <w:outlineLvl w:val="0"/>
      </w:pPr>
      <w:r/>
      <w:bookmarkStart w:id="11" w:name="_Toc12545"/>
      <w:r>
        <w:rPr>
          <w:rFonts w:hint="eastAsia" w:ascii="宋体" w:hAnsi="宋体" w:eastAsia="宋体" w:cs="宋体"/>
          <w:b/>
          <w:bCs/>
          <w:sz w:val="32"/>
          <w:szCs w:val="32"/>
        </w:rPr>
        <w:t xml:space="preserve">七、对本次招标提出询问，请按以下方式联系</w:t>
      </w:r>
      <w:bookmarkEnd w:id="11"/>
      <w:r/>
      <w:r/>
    </w:p>
    <w:p>
      <w:pPr>
        <w:ind w:firstLine="480"/>
        <w:jc w:val="left"/>
        <w:spacing w:line="500" w:lineRule="exact"/>
        <w:rPr>
          <w:rFonts w:hint="eastAsia" w:ascii="宋体" w:hAnsi="宋体" w:eastAsia="宋体" w:cs="宋体"/>
          <w:sz w:val="24"/>
          <w:szCs w:val="24"/>
        </w:rPr>
        <w:outlineLvl w:val="1"/>
      </w:pPr>
      <w:r/>
      <w:bookmarkStart w:id="12" w:name="_Toc9904"/>
      <w:r>
        <w:rPr>
          <w:rFonts w:hint="eastAsia" w:ascii="宋体" w:hAnsi="宋体" w:eastAsia="宋体" w:cs="宋体"/>
          <w:sz w:val="24"/>
          <w:szCs w:val="24"/>
        </w:rPr>
        <w:t xml:space="preserve">1.采购人信息</w:t>
      </w:r>
      <w:bookmarkEnd w:id="12"/>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国家东中西区域合作示范区（连云港徐圩新区）社会事业局</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连云港市徐圩新区徐圩大道66号产业服务中心628室</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苗方圆</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联系电话：0518-</w:t>
      </w:r>
      <w:r>
        <w:rPr>
          <w:rFonts w:hint="eastAsia" w:ascii="宋体" w:hAnsi="宋体" w:eastAsia="宋体" w:cs="宋体"/>
          <w:sz w:val="24"/>
          <w:szCs w:val="24"/>
          <w:lang w:val="en-US" w:eastAsia="zh-CN"/>
        </w:rPr>
        <w:t xml:space="preserve">82252150</w:t>
      </w:r>
      <w:r/>
    </w:p>
    <w:p>
      <w:pPr>
        <w:ind w:firstLine="480"/>
        <w:jc w:val="left"/>
        <w:spacing w:line="500" w:lineRule="exact"/>
        <w:rPr>
          <w:rFonts w:hint="eastAsia" w:ascii="宋体" w:hAnsi="宋体" w:eastAsia="宋体" w:cs="宋体"/>
          <w:sz w:val="24"/>
          <w:szCs w:val="24"/>
        </w:rPr>
        <w:outlineLvl w:val="1"/>
      </w:pPr>
      <w:r/>
      <w:bookmarkStart w:id="13" w:name="_Toc11146"/>
      <w:r>
        <w:rPr>
          <w:rFonts w:hint="eastAsia" w:ascii="宋体" w:hAnsi="宋体" w:eastAsia="宋体" w:cs="宋体"/>
          <w:sz w:val="24"/>
          <w:szCs w:val="24"/>
        </w:rPr>
        <w:t xml:space="preserve">2.采购代理机构信息</w:t>
      </w:r>
      <w:bookmarkEnd w:id="13"/>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江苏永安工程项目管理有限公司</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地址：江苏省连云港市东海县牛山镇海陵东路309号东方银座2-309-14</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王</w:t>
      </w:r>
      <w:r>
        <w:rPr>
          <w:rFonts w:hint="eastAsia" w:ascii="宋体" w:hAnsi="宋体" w:eastAsia="宋体" w:cs="宋体"/>
          <w:sz w:val="24"/>
          <w:szCs w:val="24"/>
        </w:rPr>
        <w:t xml:space="preserve">工</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13961302272</w:t>
      </w:r>
      <w:r/>
    </w:p>
    <w:p>
      <w:pPr>
        <w:ind w:firstLine="480"/>
        <w:jc w:val="left"/>
        <w:spacing w:line="500" w:lineRule="exact"/>
        <w:rPr>
          <w:rFonts w:hint="eastAsia" w:ascii="宋体" w:hAnsi="宋体" w:eastAsia="宋体" w:cs="宋体"/>
          <w:sz w:val="24"/>
          <w:szCs w:val="24"/>
        </w:rPr>
        <w:outlineLvl w:val="1"/>
      </w:pPr>
      <w:r/>
      <w:bookmarkStart w:id="14" w:name="_Toc24250"/>
      <w:r>
        <w:rPr>
          <w:rFonts w:hint="eastAsia" w:ascii="宋体" w:hAnsi="宋体" w:eastAsia="宋体" w:cs="宋体"/>
          <w:sz w:val="24"/>
          <w:szCs w:val="24"/>
        </w:rPr>
        <w:t xml:space="preserve">3.项目联系方式</w:t>
      </w:r>
      <w:bookmarkEnd w:id="1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王</w:t>
      </w:r>
      <w:r>
        <w:rPr>
          <w:rFonts w:hint="eastAsia" w:ascii="宋体" w:hAnsi="宋体" w:eastAsia="宋体" w:cs="宋体"/>
          <w:sz w:val="24"/>
          <w:szCs w:val="24"/>
        </w:rPr>
        <w:t xml:space="preserve">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电话：13961302272</w:t>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rPr>
      </w:pPr>
      <w:r>
        <w:rPr>
          <w:rFonts w:hint="eastAsia" w:ascii="宋体" w:hAnsi="宋体" w:eastAsia="宋体" w:cs="宋体"/>
        </w:rPr>
      </w:r>
      <w:r/>
    </w:p>
    <w:p>
      <w:pPr>
        <w:jc w:val="center"/>
        <w:keepLines/>
        <w:keepNext/>
        <w:spacing w:before="156" w:after="156" w:line="360" w:lineRule="auto"/>
        <w:widowControl w:val="off"/>
        <w:rPr>
          <w:rFonts w:hint="eastAsia" w:ascii="宋体" w:hAnsi="宋体" w:eastAsia="宋体" w:cs="宋体"/>
          <w:b w:val="0"/>
          <w:bCs/>
          <w:sz w:val="44"/>
          <w:szCs w:val="44"/>
          <w:lang w:val="en-US" w:eastAsia="zh-CN" w:bidi="ar-SA"/>
        </w:rPr>
        <w:sectPr>
          <w:footerReference w:type="default" r:id="rId11"/>
          <w:footerReference w:type="first" r:id="rId12"/>
          <w:footnotePr/>
          <w:endnotePr/>
          <w:type w:val="nextPage"/>
          <w:pgSz w:w="11906" w:h="16838" w:orient="portrait"/>
          <w:pgMar w:top="1440" w:right="1134" w:bottom="1440" w:left="1418" w:header="851" w:footer="992" w:gutter="0"/>
          <w:cols w:num="1" w:sep="0" w:space="720" w:equalWidth="1"/>
          <w:docGrid w:linePitch="360"/>
          <w:titlePg/>
        </w:sectPr>
        <w:outlineLvl w:val="9"/>
      </w:pPr>
      <w:r>
        <w:rPr>
          <w:rFonts w:hint="eastAsia" w:ascii="宋体" w:hAnsi="宋体" w:eastAsia="宋体" w:cs="宋体"/>
          <w:b w:val="0"/>
          <w:bCs/>
          <w:sz w:val="44"/>
          <w:szCs w:val="44"/>
          <w:lang w:val="en-US" w:eastAsia="zh-CN" w:bidi="ar-SA"/>
        </w:rPr>
      </w:r>
      <w:r/>
    </w:p>
    <w:p>
      <w:pPr>
        <w:pStyle w:val="790"/>
        <w:jc w:val="center"/>
        <w:spacing w:before="156" w:after="156" w:line="360" w:lineRule="auto"/>
        <w:rPr>
          <w:rFonts w:hint="eastAsia" w:ascii="宋体" w:hAnsi="宋体" w:eastAsia="宋体" w:cs="宋体"/>
          <w:b w:val="0"/>
        </w:rPr>
      </w:pPr>
      <w:r/>
      <w:bookmarkStart w:id="16" w:name="_Toc26018"/>
      <w:r/>
      <w:bookmarkStart w:id="17" w:name="_Toc8333"/>
      <w:r>
        <w:rPr>
          <w:rFonts w:hint="eastAsia" w:ascii="宋体" w:hAnsi="宋体" w:eastAsia="宋体" w:cs="宋体"/>
          <w:b w:val="0"/>
        </w:rPr>
        <w:t xml:space="preserve">第二章 投标人须知</w:t>
      </w:r>
      <w:bookmarkEnd w:id="15"/>
      <w:r/>
      <w:bookmarkEnd w:id="16"/>
      <w:r/>
      <w:bookmarkEnd w:id="17"/>
      <w:r/>
      <w:r/>
    </w:p>
    <w:p>
      <w:pPr>
        <w:pStyle w:val="791"/>
        <w:spacing w:before="0" w:after="0" w:line="500" w:lineRule="exact"/>
        <w:rPr>
          <w:rFonts w:hint="eastAsia" w:ascii="宋体" w:hAnsi="宋体" w:eastAsia="宋体" w:cs="宋体"/>
          <w:b w:val="0"/>
        </w:rPr>
        <w:outlineLvl w:val="0"/>
      </w:pPr>
      <w:r/>
      <w:bookmarkStart w:id="18" w:name="_Toc32371"/>
      <w:r>
        <w:rPr>
          <w:rFonts w:hint="eastAsia" w:ascii="宋体" w:hAnsi="宋体" w:eastAsia="宋体" w:cs="宋体"/>
          <w:b w:val="0"/>
        </w:rPr>
        <w:t xml:space="preserve">一、总则</w:t>
      </w:r>
      <w:bookmarkEnd w:id="18"/>
      <w:r/>
      <w:r/>
    </w:p>
    <w:p>
      <w:pPr>
        <w:pStyle w:val="792"/>
        <w:ind w:firstLine="561"/>
        <w:jc w:val="left"/>
        <w:spacing w:before="0" w:after="0" w:line="500" w:lineRule="exact"/>
        <w:rPr>
          <w:rFonts w:hint="eastAsia" w:ascii="宋体" w:hAnsi="宋体" w:eastAsia="宋体" w:cs="宋体"/>
          <w:sz w:val="28"/>
          <w:szCs w:val="28"/>
        </w:rPr>
        <w:outlineLvl w:val="1"/>
      </w:pPr>
      <w:r/>
      <w:bookmarkStart w:id="19" w:name="_Toc16017"/>
      <w:r>
        <w:rPr>
          <w:rFonts w:hint="eastAsia" w:ascii="宋体" w:hAnsi="宋体" w:eastAsia="宋体" w:cs="宋体"/>
          <w:sz w:val="28"/>
          <w:szCs w:val="28"/>
        </w:rPr>
        <w:t xml:space="preserve">1、招标方式</w:t>
      </w:r>
      <w:bookmarkEnd w:id="1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92"/>
        <w:ind w:firstLine="562"/>
        <w:jc w:val="left"/>
        <w:spacing w:before="0" w:after="0" w:line="500" w:lineRule="exact"/>
        <w:rPr>
          <w:rFonts w:hint="eastAsia" w:ascii="宋体" w:hAnsi="宋体" w:eastAsia="宋体" w:cs="宋体"/>
          <w:sz w:val="28"/>
          <w:szCs w:val="28"/>
        </w:rPr>
        <w:outlineLvl w:val="1"/>
      </w:pPr>
      <w:r/>
      <w:bookmarkStart w:id="20" w:name="_Toc25850"/>
      <w:r>
        <w:rPr>
          <w:rFonts w:hint="eastAsia" w:ascii="宋体" w:hAnsi="宋体" w:eastAsia="宋体" w:cs="宋体"/>
          <w:sz w:val="28"/>
          <w:szCs w:val="28"/>
        </w:rPr>
        <w:t xml:space="preserve">2、合格的投标人</w:t>
      </w:r>
      <w:bookmarkEnd w:id="2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b/>
          <w:bCs/>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2.3满足本招标文件全部实质性要求和条件的规定。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792"/>
        <w:ind w:firstLine="562"/>
        <w:jc w:val="left"/>
        <w:spacing w:before="0" w:after="0" w:line="500" w:lineRule="exact"/>
        <w:rPr>
          <w:rFonts w:hint="eastAsia" w:ascii="宋体" w:hAnsi="宋体" w:eastAsia="宋体" w:cs="宋体"/>
          <w:sz w:val="28"/>
          <w:szCs w:val="28"/>
        </w:rPr>
        <w:outlineLvl w:val="1"/>
      </w:pPr>
      <w:r/>
      <w:bookmarkStart w:id="21" w:name="_Toc27173"/>
      <w:r>
        <w:rPr>
          <w:rFonts w:hint="eastAsia" w:ascii="宋体" w:hAnsi="宋体" w:eastAsia="宋体" w:cs="宋体"/>
          <w:sz w:val="28"/>
          <w:szCs w:val="28"/>
        </w:rPr>
        <w:t xml:space="preserve">3、适用法律</w:t>
      </w:r>
      <w:bookmarkEnd w:id="2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pStyle w:val="792"/>
        <w:ind w:firstLine="562"/>
        <w:jc w:val="left"/>
        <w:spacing w:before="0" w:after="0" w:line="500" w:lineRule="exact"/>
        <w:rPr>
          <w:rFonts w:hint="eastAsia" w:ascii="宋体" w:hAnsi="宋体" w:eastAsia="宋体" w:cs="宋体"/>
          <w:sz w:val="28"/>
          <w:szCs w:val="28"/>
        </w:rPr>
        <w:outlineLvl w:val="1"/>
      </w:pPr>
      <w:r/>
      <w:bookmarkStart w:id="22" w:name="_Toc11107"/>
      <w:r>
        <w:rPr>
          <w:rFonts w:hint="eastAsia" w:ascii="宋体" w:hAnsi="宋体" w:eastAsia="宋体" w:cs="宋体"/>
          <w:sz w:val="28"/>
          <w:szCs w:val="28"/>
        </w:rPr>
        <w:t xml:space="preserve">4、投标费用</w:t>
      </w:r>
      <w:bookmarkEnd w:id="2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4.1投标人应自行承担所有与参加投标有关的费用，无论投标过程中的做法和结果如何，采购人和</w:t>
      </w:r>
      <w:r>
        <w:rPr>
          <w:rFonts w:hint="eastAsia" w:ascii="宋体" w:hAnsi="宋体" w:eastAsia="宋体" w:cs="宋体"/>
          <w:sz w:val="24"/>
          <w:szCs w:val="24"/>
          <w:lang w:eastAsia="zh-CN"/>
        </w:rPr>
        <w:t xml:space="preserve">江苏永安工程项目管理有限公司</w:t>
      </w:r>
      <w:r>
        <w:rPr>
          <w:rFonts w:hint="eastAsia" w:ascii="宋体" w:hAnsi="宋体" w:eastAsia="宋体" w:cs="宋体"/>
          <w:sz w:val="24"/>
          <w:szCs w:val="24"/>
        </w:rPr>
        <w:t xml:space="preserve">（以下简称代理公司）在任何情况下均无义务和责任承担这些费用。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4.2本次采购代理费根据《关于江苏省招标代理服务收费的指导意见》（苏招协【2022】002号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标准计取，由成交人支付，该费用不单独计列，综合考虑计入响应文件报价中。相关费用必须在中标公示后中标通知书发出前由中标人一次性付清。</w:t>
      </w:r>
      <w:r/>
    </w:p>
    <w:p>
      <w:pPr>
        <w:pStyle w:val="792"/>
        <w:ind w:firstLine="561"/>
        <w:jc w:val="left"/>
        <w:spacing w:before="0" w:after="0" w:line="500" w:lineRule="exact"/>
        <w:rPr>
          <w:rFonts w:hint="eastAsia" w:ascii="宋体" w:hAnsi="宋体" w:eastAsia="宋体" w:cs="宋体"/>
          <w:sz w:val="28"/>
          <w:szCs w:val="28"/>
        </w:rPr>
        <w:outlineLvl w:val="1"/>
      </w:pPr>
      <w:r/>
      <w:bookmarkStart w:id="23" w:name="_Toc1947"/>
      <w:r>
        <w:rPr>
          <w:rFonts w:hint="eastAsia" w:ascii="宋体" w:hAnsi="宋体" w:eastAsia="宋体" w:cs="宋体"/>
          <w:sz w:val="28"/>
          <w:szCs w:val="28"/>
        </w:rPr>
        <w:t xml:space="preserve">5、招标文件的约束力</w:t>
      </w:r>
      <w:bookmarkEnd w:id="2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791"/>
        <w:spacing w:before="0" w:after="0" w:line="500" w:lineRule="exact"/>
        <w:rPr>
          <w:rFonts w:hint="eastAsia" w:ascii="宋体" w:hAnsi="宋体" w:eastAsia="宋体" w:cs="宋体"/>
          <w:b w:val="0"/>
        </w:rPr>
        <w:outlineLvl w:val="0"/>
      </w:pPr>
      <w:r/>
      <w:bookmarkStart w:id="24" w:name="_Toc7306"/>
      <w:r>
        <w:rPr>
          <w:rFonts w:hint="eastAsia" w:ascii="宋体" w:hAnsi="宋体" w:eastAsia="宋体" w:cs="宋体"/>
          <w:b w:val="0"/>
        </w:rPr>
        <w:t xml:space="preserve">二、招标文件</w:t>
      </w:r>
      <w:bookmarkEnd w:id="24"/>
      <w:r/>
      <w:r/>
    </w:p>
    <w:p>
      <w:pPr>
        <w:pStyle w:val="792"/>
        <w:ind w:firstLine="562"/>
        <w:jc w:val="left"/>
        <w:spacing w:before="0" w:after="0" w:line="500" w:lineRule="exact"/>
        <w:rPr>
          <w:rFonts w:hint="eastAsia" w:ascii="宋体" w:hAnsi="宋体" w:eastAsia="宋体" w:cs="宋体"/>
          <w:sz w:val="28"/>
          <w:szCs w:val="28"/>
        </w:rPr>
        <w:outlineLvl w:val="1"/>
      </w:pPr>
      <w:r/>
      <w:bookmarkStart w:id="25" w:name="_Toc1196"/>
      <w:r>
        <w:rPr>
          <w:rFonts w:hint="eastAsia" w:ascii="宋体" w:hAnsi="宋体" w:eastAsia="宋体" w:cs="宋体"/>
          <w:sz w:val="28"/>
          <w:szCs w:val="28"/>
        </w:rPr>
        <w:t xml:space="preserve">6、招标文件的构成</w:t>
      </w:r>
      <w:bookmarkEnd w:id="2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6.1招标文件由以下部分</w:t>
      </w:r>
      <w:r>
        <w:rPr>
          <w:rFonts w:hint="eastAsia" w:ascii="宋体" w:hAnsi="宋体" w:eastAsia="宋体" w:cs="宋体"/>
          <w:sz w:val="24"/>
        </w:rPr>
        <w:t xml:space="preserve">组成</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请仔细检查招标文件是否齐全，如有缺漏请立即与代理公司联系解决。</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2"/>
        <w:ind w:firstLine="562"/>
        <w:jc w:val="left"/>
        <w:spacing w:before="0" w:after="0" w:line="500" w:lineRule="exact"/>
        <w:rPr>
          <w:rFonts w:hint="eastAsia" w:ascii="宋体" w:hAnsi="宋体" w:eastAsia="宋体" w:cs="宋体"/>
          <w:sz w:val="28"/>
          <w:szCs w:val="28"/>
        </w:rPr>
        <w:outlineLvl w:val="1"/>
      </w:pPr>
      <w:r/>
      <w:bookmarkStart w:id="26" w:name="_Toc11366"/>
      <w:r>
        <w:rPr>
          <w:rFonts w:hint="eastAsia" w:ascii="宋体" w:hAnsi="宋体" w:eastAsia="宋体" w:cs="宋体"/>
          <w:sz w:val="28"/>
          <w:szCs w:val="28"/>
        </w:rPr>
        <w:t xml:space="preserve">7、招标文件的澄清</w:t>
      </w:r>
      <w:bookmarkEnd w:id="2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7.1任何要求对招标文件进行澄清的投标人，应在投标截止时间十日前按招标公告中的通讯地址，以书面形式通知采购人或者代理公司。</w:t>
      </w:r>
      <w:r/>
    </w:p>
    <w:p>
      <w:pPr>
        <w:pStyle w:val="792"/>
        <w:ind w:firstLine="562"/>
        <w:jc w:val="left"/>
        <w:spacing w:before="0" w:after="0" w:line="500" w:lineRule="exact"/>
        <w:rPr>
          <w:rFonts w:hint="eastAsia" w:ascii="宋体" w:hAnsi="宋体" w:eastAsia="宋体" w:cs="宋体"/>
          <w:sz w:val="28"/>
          <w:szCs w:val="28"/>
        </w:rPr>
        <w:outlineLvl w:val="1"/>
      </w:pPr>
      <w:r/>
      <w:bookmarkStart w:id="27" w:name="_Toc22028"/>
      <w:r>
        <w:rPr>
          <w:rFonts w:hint="eastAsia" w:ascii="宋体" w:hAnsi="宋体" w:eastAsia="宋体" w:cs="宋体"/>
          <w:sz w:val="28"/>
          <w:szCs w:val="28"/>
        </w:rPr>
        <w:t xml:space="preserve">8、招标文件的修改</w:t>
      </w:r>
      <w:bookmarkEnd w:id="2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8.1在投标截止时间前，采购人和代理公司可以对招标文件进行修改。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8.2采购人和代理公司有权按照法定的要求推迟投标截止日期和开标日期。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pStyle w:val="791"/>
        <w:spacing w:before="0" w:after="0" w:line="500" w:lineRule="exact"/>
        <w:rPr>
          <w:rFonts w:hint="eastAsia" w:ascii="宋体" w:hAnsi="宋体" w:eastAsia="宋体" w:cs="宋体"/>
          <w:b w:val="0"/>
        </w:rPr>
        <w:outlineLvl w:val="0"/>
      </w:pPr>
      <w:r/>
      <w:bookmarkStart w:id="28" w:name="_Toc29452"/>
      <w:r>
        <w:rPr>
          <w:rFonts w:hint="eastAsia" w:ascii="宋体" w:hAnsi="宋体" w:eastAsia="宋体" w:cs="宋体"/>
          <w:b w:val="0"/>
        </w:rPr>
        <w:t xml:space="preserve">三、投标文件编制</w:t>
      </w:r>
      <w:bookmarkEnd w:id="28"/>
      <w:r/>
      <w:r/>
    </w:p>
    <w:p>
      <w:pPr>
        <w:pStyle w:val="792"/>
        <w:ind w:firstLine="562"/>
        <w:jc w:val="left"/>
        <w:spacing w:before="0" w:after="0" w:line="500" w:lineRule="exact"/>
        <w:rPr>
          <w:rFonts w:hint="eastAsia" w:ascii="宋体" w:hAnsi="宋体" w:eastAsia="宋体" w:cs="宋体"/>
          <w:sz w:val="28"/>
          <w:szCs w:val="28"/>
        </w:rPr>
        <w:outlineLvl w:val="1"/>
      </w:pPr>
      <w:r/>
      <w:bookmarkStart w:id="29" w:name="_Toc6370"/>
      <w:r>
        <w:rPr>
          <w:rFonts w:hint="eastAsia" w:ascii="宋体" w:hAnsi="宋体" w:eastAsia="宋体" w:cs="宋体"/>
          <w:sz w:val="28"/>
          <w:szCs w:val="28"/>
        </w:rPr>
        <w:t xml:space="preserve">9、投标文件编写注意事项</w:t>
      </w:r>
      <w:bookmarkEnd w:id="2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92"/>
        <w:ind w:firstLine="562"/>
        <w:jc w:val="left"/>
        <w:spacing w:before="0" w:after="0" w:line="500" w:lineRule="exact"/>
        <w:rPr>
          <w:rFonts w:hint="eastAsia" w:ascii="宋体" w:hAnsi="宋体" w:eastAsia="宋体" w:cs="宋体"/>
          <w:sz w:val="28"/>
          <w:szCs w:val="28"/>
        </w:rPr>
        <w:outlineLvl w:val="1"/>
      </w:pPr>
      <w:r/>
      <w:bookmarkStart w:id="30" w:name="_Toc4299"/>
      <w:r>
        <w:rPr>
          <w:rFonts w:hint="eastAsia" w:ascii="宋体" w:hAnsi="宋体" w:eastAsia="宋体" w:cs="宋体"/>
          <w:sz w:val="28"/>
          <w:szCs w:val="28"/>
        </w:rPr>
        <w:t xml:space="preserve">10、投标文件的语言及度量衡单位</w:t>
      </w:r>
      <w:bookmarkEnd w:id="3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92"/>
        <w:ind w:firstLine="562"/>
        <w:jc w:val="left"/>
        <w:spacing w:before="0" w:after="0" w:line="500" w:lineRule="exact"/>
        <w:rPr>
          <w:rFonts w:hint="eastAsia" w:ascii="宋体" w:hAnsi="宋体" w:eastAsia="宋体" w:cs="宋体"/>
          <w:sz w:val="28"/>
          <w:szCs w:val="28"/>
        </w:rPr>
        <w:outlineLvl w:val="1"/>
      </w:pPr>
      <w:r/>
      <w:bookmarkStart w:id="31" w:name="_Toc3330"/>
      <w:r>
        <w:rPr>
          <w:rFonts w:hint="eastAsia" w:ascii="宋体" w:hAnsi="宋体" w:eastAsia="宋体" w:cs="宋体"/>
          <w:sz w:val="28"/>
          <w:szCs w:val="28"/>
        </w:rPr>
        <w:t xml:space="preserve">11、投标文件的构成</w:t>
      </w:r>
      <w:bookmarkEnd w:id="3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11.2如投标文件制作工具中的格式和内容与江苏政府采购网发布的招标文件不一致，请以江苏政府采购网发布的招标文件为准。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92"/>
        <w:ind w:firstLine="562"/>
        <w:jc w:val="left"/>
        <w:spacing w:before="0" w:after="0" w:line="500" w:lineRule="exact"/>
        <w:rPr>
          <w:rFonts w:hint="eastAsia" w:ascii="宋体" w:hAnsi="宋体" w:eastAsia="宋体" w:cs="宋体"/>
          <w:sz w:val="28"/>
          <w:szCs w:val="28"/>
        </w:rPr>
        <w:outlineLvl w:val="1"/>
      </w:pPr>
      <w:r/>
      <w:bookmarkStart w:id="32" w:name="_Toc19450"/>
      <w:r>
        <w:rPr>
          <w:rFonts w:hint="eastAsia" w:ascii="宋体" w:hAnsi="宋体" w:eastAsia="宋体" w:cs="宋体"/>
          <w:sz w:val="28"/>
          <w:szCs w:val="28"/>
        </w:rPr>
        <w:t xml:space="preserve">12、证明投标人及投标标的符合招标文件规定的文件</w:t>
      </w:r>
      <w:bookmarkEnd w:id="3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投标人委托代理时应当提交授权委托书，请按招标文件第六章规定格式及要求填写并附法定代表人（单位负责人）与委托代理人身份证明。</w:t>
      </w:r>
      <w:r/>
    </w:p>
    <w:p>
      <w:pPr>
        <w:pStyle w:val="792"/>
        <w:ind w:firstLine="562"/>
        <w:jc w:val="left"/>
        <w:spacing w:before="0" w:after="0" w:line="500" w:lineRule="exact"/>
        <w:rPr>
          <w:rFonts w:hint="eastAsia" w:ascii="宋体" w:hAnsi="宋体" w:eastAsia="宋体" w:cs="宋体"/>
        </w:rPr>
        <w:outlineLvl w:val="1"/>
      </w:pPr>
      <w:r/>
      <w:bookmarkStart w:id="33" w:name="_Toc5613"/>
      <w:r>
        <w:rPr>
          <w:rFonts w:hint="eastAsia" w:ascii="宋体" w:hAnsi="宋体" w:eastAsia="宋体" w:cs="宋体"/>
          <w:sz w:val="28"/>
          <w:szCs w:val="28"/>
        </w:rPr>
        <w:t xml:space="preserve">13、投标分项报价表</w:t>
      </w:r>
      <w:bookmarkEnd w:id="3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13.2投标文件中的单价和总价无特殊规定的采用人民币报价，以元为单位标注。招标文件中另有规定的按规定执行。</w:t>
      </w:r>
      <w:r/>
    </w:p>
    <w:p>
      <w:pPr>
        <w:pStyle w:val="792"/>
        <w:ind w:firstLine="562"/>
        <w:jc w:val="left"/>
        <w:spacing w:before="0" w:after="0" w:line="500" w:lineRule="exact"/>
        <w:rPr>
          <w:rFonts w:hint="eastAsia" w:ascii="宋体" w:hAnsi="宋体" w:eastAsia="宋体" w:cs="宋体"/>
          <w:sz w:val="28"/>
          <w:szCs w:val="28"/>
        </w:rPr>
        <w:outlineLvl w:val="1"/>
      </w:pPr>
      <w:r/>
      <w:bookmarkStart w:id="34" w:name="_Toc32373"/>
      <w:r>
        <w:rPr>
          <w:rFonts w:hint="eastAsia" w:ascii="宋体" w:hAnsi="宋体" w:eastAsia="宋体" w:cs="宋体"/>
          <w:sz w:val="28"/>
          <w:szCs w:val="28"/>
        </w:rPr>
        <w:t xml:space="preserve">14、技术要求响应及偏离表、商务要求响应及偏离表</w:t>
      </w:r>
      <w:bookmarkEnd w:id="3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14.2投标人可在投标文件中提供认为需要的其他技术文件或说明。</w:t>
      </w:r>
      <w:r/>
    </w:p>
    <w:p>
      <w:pPr>
        <w:pStyle w:val="792"/>
        <w:ind w:firstLine="562"/>
        <w:jc w:val="left"/>
        <w:spacing w:before="0" w:after="0" w:line="500" w:lineRule="exact"/>
        <w:rPr>
          <w:rFonts w:hint="eastAsia" w:ascii="宋体" w:hAnsi="宋体" w:eastAsia="宋体" w:cs="宋体"/>
          <w:sz w:val="28"/>
          <w:szCs w:val="28"/>
        </w:rPr>
        <w:outlineLvl w:val="1"/>
      </w:pPr>
      <w:r/>
      <w:bookmarkStart w:id="35" w:name="_Toc8422"/>
      <w:r>
        <w:rPr>
          <w:rFonts w:hint="eastAsia" w:ascii="宋体" w:hAnsi="宋体" w:eastAsia="宋体" w:cs="宋体"/>
          <w:sz w:val="28"/>
          <w:szCs w:val="28"/>
        </w:rPr>
        <w:t xml:space="preserve">15、服务承诺、培训计划、人员安排及其他</w:t>
      </w:r>
      <w:bookmarkEnd w:id="3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15.2投标人需根据招标文件要求提供培训计划、人员安排等。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15.3投标人需根据招标文件要求提供所投标的主要组成部分、功能设计、实现思路及关键技术等。</w:t>
      </w:r>
      <w:r/>
    </w:p>
    <w:p>
      <w:pPr>
        <w:pStyle w:val="792"/>
        <w:ind w:firstLine="562"/>
        <w:jc w:val="left"/>
        <w:spacing w:before="0" w:after="0" w:line="500" w:lineRule="exact"/>
        <w:rPr>
          <w:rFonts w:hint="eastAsia" w:ascii="宋体" w:hAnsi="宋体" w:eastAsia="宋体" w:cs="宋体"/>
          <w:sz w:val="28"/>
          <w:szCs w:val="28"/>
        </w:rPr>
        <w:outlineLvl w:val="1"/>
      </w:pPr>
      <w:r/>
      <w:bookmarkStart w:id="36" w:name="_Toc22502"/>
      <w:r>
        <w:rPr>
          <w:rFonts w:hint="eastAsia" w:ascii="宋体" w:hAnsi="宋体" w:eastAsia="宋体" w:cs="宋体"/>
          <w:sz w:val="28"/>
          <w:szCs w:val="28"/>
        </w:rPr>
        <w:t xml:space="preserve">16、投标函和开标一览表</w:t>
      </w:r>
      <w:bookmarkEnd w:id="3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16.1投标人应按照招标文件中提供的格式完整、正确填写投标函、开标一览表。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16.2对于采用货币报价的项目，开标一览表中的投标总报价应与投标分项报价表中的投标总报价一致，如不一致，不做无效投标处理，但评标时以开标一览表中价格为准。</w:t>
      </w:r>
      <w:r/>
    </w:p>
    <w:p>
      <w:pPr>
        <w:pStyle w:val="792"/>
        <w:ind w:firstLine="562"/>
        <w:jc w:val="left"/>
        <w:spacing w:before="0" w:after="0" w:line="500" w:lineRule="exact"/>
        <w:rPr>
          <w:rFonts w:hint="eastAsia" w:ascii="宋体" w:hAnsi="宋体" w:eastAsia="宋体" w:cs="宋体"/>
          <w:sz w:val="28"/>
          <w:szCs w:val="28"/>
        </w:rPr>
        <w:outlineLvl w:val="1"/>
      </w:pPr>
      <w:r/>
      <w:bookmarkStart w:id="37" w:name="_Toc158"/>
      <w:r>
        <w:rPr>
          <w:rFonts w:hint="eastAsia" w:ascii="宋体" w:hAnsi="宋体" w:eastAsia="宋体" w:cs="宋体"/>
          <w:sz w:val="28"/>
          <w:szCs w:val="28"/>
        </w:rPr>
        <w:t xml:space="preserve">17、投标有效期</w:t>
      </w:r>
      <w:bookmarkEnd w:id="3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791"/>
        <w:spacing w:before="0" w:after="0" w:line="500" w:lineRule="exact"/>
        <w:rPr>
          <w:rFonts w:hint="eastAsia" w:ascii="宋体" w:hAnsi="宋体" w:eastAsia="宋体" w:cs="宋体"/>
          <w:b w:val="0"/>
        </w:rPr>
        <w:outlineLvl w:val="0"/>
      </w:pPr>
      <w:r/>
      <w:bookmarkStart w:id="38" w:name="_Toc25404"/>
      <w:r>
        <w:rPr>
          <w:rFonts w:hint="eastAsia" w:ascii="宋体" w:hAnsi="宋体" w:eastAsia="宋体" w:cs="宋体"/>
          <w:b w:val="0"/>
        </w:rPr>
        <w:t xml:space="preserve">四、投标文件递交</w:t>
      </w:r>
      <w:bookmarkEnd w:id="38"/>
      <w:r/>
      <w:r/>
    </w:p>
    <w:p>
      <w:pPr>
        <w:pStyle w:val="792"/>
        <w:ind w:firstLine="562"/>
        <w:jc w:val="left"/>
        <w:spacing w:before="0" w:after="0" w:line="500" w:lineRule="exact"/>
        <w:rPr>
          <w:rFonts w:hint="eastAsia" w:ascii="宋体" w:hAnsi="宋体" w:eastAsia="宋体" w:cs="宋体"/>
          <w:sz w:val="28"/>
          <w:szCs w:val="28"/>
        </w:rPr>
        <w:outlineLvl w:val="1"/>
      </w:pPr>
      <w:r/>
      <w:bookmarkStart w:id="39" w:name="_Toc4929"/>
      <w:r>
        <w:rPr>
          <w:rFonts w:hint="eastAsia" w:ascii="宋体" w:hAnsi="宋体" w:eastAsia="宋体" w:cs="宋体"/>
          <w:sz w:val="28"/>
          <w:szCs w:val="28"/>
        </w:rPr>
        <w:t xml:space="preserve">18、电子投标文件的递交</w:t>
      </w:r>
      <w:bookmarkEnd w:id="3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18.1投标人应当按照《操作手册》规定，在投标截止时间前制作并递交（上传）电子投标文件。</w:t>
      </w:r>
      <w:r/>
    </w:p>
    <w:p>
      <w:pPr>
        <w:pStyle w:val="792"/>
        <w:ind w:firstLine="562"/>
        <w:jc w:val="left"/>
        <w:spacing w:before="0" w:after="0" w:line="500" w:lineRule="exact"/>
        <w:rPr>
          <w:rFonts w:hint="eastAsia" w:ascii="宋体" w:hAnsi="宋体" w:eastAsia="宋体" w:cs="宋体"/>
          <w:sz w:val="28"/>
          <w:szCs w:val="28"/>
        </w:rPr>
        <w:outlineLvl w:val="1"/>
      </w:pPr>
      <w:r/>
      <w:bookmarkStart w:id="40" w:name="_Toc28934"/>
      <w:r>
        <w:rPr>
          <w:rFonts w:hint="eastAsia" w:ascii="宋体" w:hAnsi="宋体" w:eastAsia="宋体" w:cs="宋体"/>
          <w:sz w:val="28"/>
          <w:szCs w:val="28"/>
        </w:rPr>
        <w:t xml:space="preserve">19、投标截止时间</w:t>
      </w:r>
      <w:bookmarkEnd w:id="4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792"/>
        <w:ind w:firstLine="562"/>
        <w:jc w:val="left"/>
        <w:spacing w:before="0" w:after="0" w:line="500" w:lineRule="exact"/>
        <w:rPr>
          <w:rFonts w:hint="eastAsia" w:ascii="宋体" w:hAnsi="宋体" w:eastAsia="宋体" w:cs="宋体"/>
          <w:sz w:val="28"/>
          <w:szCs w:val="28"/>
        </w:rPr>
        <w:outlineLvl w:val="1"/>
      </w:pPr>
      <w:r/>
      <w:bookmarkStart w:id="41" w:name="_Toc28139"/>
      <w:r>
        <w:rPr>
          <w:rFonts w:hint="eastAsia" w:ascii="宋体" w:hAnsi="宋体" w:eastAsia="宋体" w:cs="宋体"/>
          <w:sz w:val="28"/>
          <w:szCs w:val="28"/>
        </w:rPr>
        <w:t xml:space="preserve">20、投标文件的拒收</w:t>
      </w:r>
      <w:bookmarkEnd w:id="4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代理公司拒绝接收在招标文件规定的投标截止时间后递交（上传）的任何投标文件。</w:t>
      </w:r>
      <w:r/>
    </w:p>
    <w:p>
      <w:pPr>
        <w:pStyle w:val="792"/>
        <w:ind w:firstLine="562"/>
        <w:jc w:val="left"/>
        <w:spacing w:before="0" w:after="0" w:line="500" w:lineRule="exact"/>
        <w:rPr>
          <w:rFonts w:hint="eastAsia" w:ascii="宋体" w:hAnsi="宋体" w:eastAsia="宋体" w:cs="宋体"/>
          <w:sz w:val="28"/>
          <w:szCs w:val="28"/>
        </w:rPr>
        <w:outlineLvl w:val="1"/>
      </w:pPr>
      <w:r/>
      <w:bookmarkStart w:id="42" w:name="_Toc21904"/>
      <w:r>
        <w:rPr>
          <w:rFonts w:hint="eastAsia" w:ascii="宋体" w:hAnsi="宋体" w:eastAsia="宋体" w:cs="宋体"/>
          <w:sz w:val="28"/>
          <w:szCs w:val="28"/>
        </w:rPr>
        <w:t xml:space="preserve">21、投标文件的撤回和修改</w:t>
      </w:r>
      <w:bookmarkEnd w:id="4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21.1投标人可在投标截止时间前，撤回其电子投标文件，具体操作方法见《操作手册》。投标人撤回电子投标文件的，则认为其不再参与本项目投标活动。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p>
    <w:p>
      <w:pPr>
        <w:pStyle w:val="791"/>
        <w:spacing w:before="0" w:after="0" w:line="500" w:lineRule="exact"/>
        <w:rPr>
          <w:rFonts w:hint="eastAsia" w:ascii="宋体" w:hAnsi="宋体" w:eastAsia="宋体" w:cs="宋体"/>
          <w:b w:val="0"/>
        </w:rPr>
        <w:outlineLvl w:val="0"/>
      </w:pPr>
      <w:r/>
      <w:bookmarkStart w:id="43" w:name="_Toc24785"/>
      <w:r>
        <w:rPr>
          <w:rFonts w:hint="eastAsia" w:ascii="宋体" w:hAnsi="宋体" w:eastAsia="宋体" w:cs="宋体"/>
          <w:b w:val="0"/>
        </w:rPr>
        <w:t xml:space="preserve">五、开标与评标</w:t>
      </w:r>
      <w:bookmarkEnd w:id="43"/>
      <w:r/>
      <w:r/>
    </w:p>
    <w:p>
      <w:pPr>
        <w:pStyle w:val="792"/>
        <w:ind w:firstLine="562"/>
        <w:jc w:val="left"/>
        <w:spacing w:before="0" w:after="0" w:line="500" w:lineRule="exact"/>
        <w:rPr>
          <w:rFonts w:hint="eastAsia" w:ascii="宋体" w:hAnsi="宋体" w:eastAsia="宋体" w:cs="宋体"/>
          <w:sz w:val="28"/>
          <w:szCs w:val="28"/>
        </w:rPr>
        <w:outlineLvl w:val="1"/>
      </w:pPr>
      <w:r/>
      <w:bookmarkStart w:id="44" w:name="_Toc8431"/>
      <w:r>
        <w:rPr>
          <w:rFonts w:hint="eastAsia" w:ascii="宋体" w:hAnsi="宋体" w:eastAsia="宋体" w:cs="宋体"/>
          <w:sz w:val="28"/>
          <w:szCs w:val="28"/>
        </w:rPr>
        <w:t xml:space="preserve">22、开标</w:t>
      </w:r>
      <w:bookmarkEnd w:id="4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22.1代理公司将在招标公告中规定的时间和地点组织公开开标。投标人应当按时参加开标活动，并在“苏采云”系统规定的时间内对投标文件进行解密。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22.2开标仪式由代理公司组织。“苏采云”系统将自动对项目进行开标，并宣布各投标人名称和投标价格。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22.3投标人在开标过程中涉及的投标文件解密、开标结果确认等工作，应当按照《操作手册》规定执行。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22.6 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，及时登录“苏采云”系统查阅、答复相关信息，并安排专人与代理公司及评委会联系。</w:t>
      </w:r>
      <w:r/>
    </w:p>
    <w:p>
      <w:pPr>
        <w:pStyle w:val="792"/>
        <w:ind w:firstLine="562"/>
        <w:jc w:val="left"/>
        <w:spacing w:before="0" w:after="0" w:line="500" w:lineRule="exact"/>
        <w:rPr>
          <w:rFonts w:hint="eastAsia" w:ascii="宋体" w:hAnsi="宋体" w:eastAsia="宋体" w:cs="宋体"/>
          <w:sz w:val="28"/>
          <w:szCs w:val="28"/>
        </w:rPr>
        <w:outlineLvl w:val="1"/>
      </w:pPr>
      <w:r/>
      <w:bookmarkStart w:id="45" w:name="_Toc416"/>
      <w:r>
        <w:rPr>
          <w:rFonts w:hint="eastAsia" w:ascii="宋体" w:hAnsi="宋体" w:eastAsia="宋体" w:cs="宋体"/>
          <w:sz w:val="28"/>
          <w:szCs w:val="28"/>
        </w:rPr>
        <w:t xml:space="preserve">23、评标委员会</w:t>
      </w:r>
      <w:bookmarkEnd w:id="4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23.1开标后，代理公司将组织评委会进行评标。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23.3评委会按照采购文件规定的评审程序、评审方法和评审标准进行独立评审并确定中标候选人。</w:t>
      </w:r>
      <w:r/>
    </w:p>
    <w:p>
      <w:pPr>
        <w:pStyle w:val="792"/>
        <w:ind w:firstLine="562"/>
        <w:jc w:val="left"/>
        <w:spacing w:before="0" w:after="0" w:line="500" w:lineRule="exact"/>
        <w:rPr>
          <w:rFonts w:hint="eastAsia" w:ascii="宋体" w:hAnsi="宋体" w:eastAsia="宋体" w:cs="宋体"/>
          <w:sz w:val="28"/>
          <w:szCs w:val="28"/>
        </w:rPr>
        <w:outlineLvl w:val="1"/>
      </w:pPr>
      <w:r/>
      <w:bookmarkStart w:id="46" w:name="_Toc26719"/>
      <w:r>
        <w:rPr>
          <w:rFonts w:hint="eastAsia" w:ascii="宋体" w:hAnsi="宋体" w:eastAsia="宋体" w:cs="宋体"/>
          <w:sz w:val="28"/>
          <w:szCs w:val="28"/>
        </w:rPr>
        <w:t xml:space="preserve">24、评标过程的保密与公正</w:t>
      </w:r>
      <w:bookmarkEnd w:id="4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w:t>
      </w:r>
      <w:r>
        <w:rPr>
          <w:rFonts w:hint="eastAsia" w:ascii="宋体" w:hAnsi="宋体" w:eastAsia="宋体" w:cs="宋体"/>
          <w:sz w:val="24"/>
          <w:szCs w:val="24"/>
          <w:lang w:eastAsia="zh-CN"/>
        </w:rPr>
        <w:t xml:space="preserve">凡</w:t>
      </w:r>
      <w:r>
        <w:rPr>
          <w:rFonts w:hint="eastAsia" w:ascii="宋体" w:hAnsi="宋体" w:eastAsia="宋体" w:cs="宋体"/>
          <w:sz w:val="24"/>
          <w:szCs w:val="24"/>
        </w:rPr>
        <w:t xml:space="preserve">与审查、澄清、评价和比较投标的有关资料以及投标建议等，采购人、评审专家、代理公司均不得向投标人或与评标无关的其他人员透露。</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24.3代理公司和评委会不向未中标的投标人解释未中标原因，也不公布评标过程中的相关细节。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pStyle w:val="792"/>
        <w:ind w:firstLine="562"/>
        <w:jc w:val="left"/>
        <w:spacing w:before="0" w:after="0" w:line="500" w:lineRule="exact"/>
        <w:rPr>
          <w:rFonts w:hint="eastAsia" w:ascii="宋体" w:hAnsi="宋体" w:eastAsia="宋体" w:cs="宋体"/>
          <w:sz w:val="28"/>
          <w:szCs w:val="28"/>
        </w:rPr>
        <w:outlineLvl w:val="1"/>
      </w:pPr>
      <w:r/>
      <w:bookmarkStart w:id="47" w:name="_Toc5597"/>
      <w:r>
        <w:rPr>
          <w:rFonts w:hint="eastAsia" w:ascii="宋体" w:hAnsi="宋体" w:eastAsia="宋体" w:cs="宋体"/>
          <w:sz w:val="28"/>
          <w:szCs w:val="28"/>
        </w:rPr>
        <w:t xml:space="preserve">25、投标文件的澄清</w:t>
      </w:r>
      <w:bookmarkEnd w:id="4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25.3接到评委会澄清、说明或者补正要求的投标人如未按要求响应，其风险由投标人自行承担。</w:t>
      </w:r>
      <w:r/>
    </w:p>
    <w:p>
      <w:pPr>
        <w:pStyle w:val="792"/>
        <w:ind w:firstLine="562"/>
        <w:jc w:val="left"/>
        <w:spacing w:before="0" w:after="0" w:line="500" w:lineRule="exact"/>
        <w:rPr>
          <w:rFonts w:hint="eastAsia" w:ascii="宋体" w:hAnsi="宋体" w:eastAsia="宋体" w:cs="宋体"/>
          <w:sz w:val="28"/>
          <w:szCs w:val="28"/>
        </w:rPr>
        <w:outlineLvl w:val="1"/>
      </w:pPr>
      <w:r/>
      <w:bookmarkStart w:id="48" w:name="_Toc13217"/>
      <w:r>
        <w:rPr>
          <w:rFonts w:hint="eastAsia" w:ascii="宋体" w:hAnsi="宋体" w:eastAsia="宋体" w:cs="宋体"/>
          <w:sz w:val="28"/>
          <w:szCs w:val="28"/>
        </w:rPr>
        <w:t xml:space="preserve">26、对投标文件的初审</w:t>
      </w:r>
      <w:bookmarkEnd w:id="4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Cs/>
          <w:sz w:val="24"/>
        </w:rPr>
        <w:t xml:space="preserve">采购人在进行资格性审查的同时，将在“信用中国”网</w:t>
      </w:r>
      <w:r>
        <w:rPr>
          <w:rFonts w:hint="eastAsia" w:ascii="宋体" w:hAnsi="宋体" w:eastAsia="宋体" w:cs="宋体"/>
          <w:sz w:val="24"/>
          <w:szCs w:val="24"/>
        </w:rPr>
        <w:t xml:space="preserve">（www.creditchina.gov.</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未通过资格审查或符合性审查的投标人，将在“苏采云”系统中告知其未通过资格审查或符合性审查的原因，评审结束后，将不再告知。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pStyle w:val="792"/>
        <w:ind w:firstLine="562"/>
        <w:jc w:val="left"/>
        <w:spacing w:before="0" w:after="0" w:line="500" w:lineRule="exact"/>
        <w:rPr>
          <w:rFonts w:hint="eastAsia" w:ascii="宋体" w:hAnsi="宋体" w:eastAsia="宋体" w:cs="宋体"/>
          <w:sz w:val="28"/>
          <w:szCs w:val="28"/>
        </w:rPr>
        <w:outlineLvl w:val="1"/>
      </w:pPr>
      <w:r/>
      <w:bookmarkStart w:id="49" w:name="_Toc17745"/>
      <w:r>
        <w:rPr>
          <w:rFonts w:hint="eastAsia" w:ascii="宋体" w:hAnsi="宋体" w:eastAsia="宋体" w:cs="宋体"/>
          <w:sz w:val="28"/>
          <w:szCs w:val="28"/>
        </w:rPr>
        <w:t xml:space="preserve">27、无效投标条款和废标条款</w:t>
      </w:r>
      <w:bookmarkEnd w:id="4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27.1无效投标条款：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w:t>
      </w:r>
      <w:r>
        <w:rPr>
          <w:rFonts w:hint="eastAsia" w:ascii="宋体" w:hAnsi="宋体" w:eastAsia="宋体" w:cs="宋体"/>
          <w:sz w:val="24"/>
          <w:szCs w:val="24"/>
          <w:lang w:eastAsia="zh-CN"/>
        </w:rPr>
        <w:t xml:space="preserve">国家发展改革委</w:t>
      </w:r>
      <w:r>
        <w:rPr>
          <w:rFonts w:hint="eastAsia" w:ascii="宋体" w:hAnsi="宋体" w:eastAsia="宋体" w:cs="宋体"/>
          <w:sz w:val="24"/>
          <w:szCs w:val="24"/>
        </w:rPr>
        <w:t xml:space="preserve">、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（3）符合专业条件的投标人或者对招标文件做实质响应的投标人不足三家的。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27.4出现投标截止时间结束后参加投标的投标人或者在评标期间对招标文件做出实质响应的投标人不足三家情况的，按照政府采购相关规定执行。</w:t>
      </w:r>
      <w:r/>
    </w:p>
    <w:p>
      <w:pPr>
        <w:pStyle w:val="791"/>
        <w:spacing w:before="0" w:after="0" w:line="500" w:lineRule="exact"/>
        <w:rPr>
          <w:rFonts w:hint="eastAsia" w:ascii="宋体" w:hAnsi="宋体" w:eastAsia="宋体" w:cs="宋体"/>
          <w:b w:val="0"/>
        </w:rPr>
        <w:outlineLvl w:val="0"/>
      </w:pPr>
      <w:r/>
      <w:bookmarkStart w:id="50" w:name="_Toc30265"/>
      <w:r>
        <w:rPr>
          <w:rFonts w:hint="eastAsia" w:ascii="宋体" w:hAnsi="宋体" w:eastAsia="宋体" w:cs="宋体"/>
          <w:b w:val="0"/>
        </w:rPr>
        <w:t xml:space="preserve">六、定标</w:t>
      </w:r>
      <w:bookmarkEnd w:id="50"/>
      <w:r/>
      <w:r/>
    </w:p>
    <w:p>
      <w:pPr>
        <w:pStyle w:val="792"/>
        <w:ind w:firstLine="562"/>
        <w:jc w:val="left"/>
        <w:spacing w:before="0" w:after="0" w:line="500" w:lineRule="exact"/>
        <w:rPr>
          <w:rFonts w:hint="eastAsia" w:ascii="宋体" w:hAnsi="宋体" w:eastAsia="宋体" w:cs="宋体"/>
          <w:sz w:val="28"/>
          <w:szCs w:val="28"/>
        </w:rPr>
        <w:outlineLvl w:val="1"/>
      </w:pPr>
      <w:r/>
      <w:bookmarkStart w:id="51" w:name="_Toc31941"/>
      <w:r>
        <w:rPr>
          <w:rFonts w:hint="eastAsia" w:ascii="宋体" w:hAnsi="宋体" w:eastAsia="宋体" w:cs="宋体"/>
          <w:sz w:val="28"/>
          <w:szCs w:val="28"/>
        </w:rPr>
        <w:t xml:space="preserve">28、确定中标单位</w:t>
      </w:r>
      <w:bookmarkEnd w:id="5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28.1中标候选人的选取原则和数量详见招标文件第五章规定。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28.2采购人应根据评委会推荐的中标候选人确定中标人。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28.3代理公司将在江苏政府采购网发布中标公告，公告期限为1个工作日。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（2）向采购人、采购中心行贿或者提供其他不正当利益的。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（3）属于本文件规定的无效条件，但在评标过程中又未被评委会发现的。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（4）与采购人或者其他投标人恶意串通的。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（5）采取不正当手段诋毁、排挤其他投标人的。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 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792"/>
        <w:ind w:firstLine="562"/>
        <w:jc w:val="left"/>
        <w:spacing w:before="0" w:after="0" w:line="500" w:lineRule="exact"/>
        <w:rPr>
          <w:rFonts w:hint="eastAsia" w:ascii="宋体" w:hAnsi="宋体" w:eastAsia="宋体" w:cs="宋体"/>
          <w:sz w:val="28"/>
          <w:szCs w:val="28"/>
        </w:rPr>
        <w:outlineLvl w:val="1"/>
      </w:pPr>
      <w:r/>
      <w:bookmarkStart w:id="52" w:name="_Toc31684"/>
      <w:r>
        <w:rPr>
          <w:rFonts w:hint="eastAsia" w:ascii="宋体" w:hAnsi="宋体" w:eastAsia="宋体" w:cs="宋体"/>
          <w:sz w:val="28"/>
          <w:szCs w:val="28"/>
        </w:rPr>
        <w:t xml:space="preserve">29、中标通知书</w:t>
      </w:r>
      <w:bookmarkEnd w:id="5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中标人应在中标后七个工作日内，向采购人和代理公司各提供</w:t>
      </w:r>
      <w:r>
        <w:rPr>
          <w:rFonts w:hint="eastAsia" w:ascii="宋体" w:hAnsi="宋体" w:eastAsia="宋体" w:cs="宋体"/>
          <w:b/>
          <w:bCs/>
          <w:sz w:val="24"/>
          <w:szCs w:val="24"/>
        </w:rPr>
        <w:t xml:space="preserve">一正四副</w:t>
      </w:r>
      <w:r>
        <w:rPr>
          <w:rFonts w:hint="eastAsia" w:ascii="宋体" w:hAnsi="宋体" w:eastAsia="宋体" w:cs="宋体"/>
          <w:sz w:val="24"/>
          <w:szCs w:val="24"/>
        </w:rPr>
        <w:t xml:space="preserve">与电子投标文件一致的纸质打印胶装投标文件，封面、骑缝需加盖公章。</w:t>
      </w:r>
      <w:r/>
    </w:p>
    <w:p>
      <w:pPr>
        <w:pStyle w:val="791"/>
        <w:spacing w:before="0" w:after="0" w:line="500" w:lineRule="exact"/>
        <w:rPr>
          <w:rFonts w:hint="eastAsia" w:ascii="宋体" w:hAnsi="宋体" w:eastAsia="宋体" w:cs="宋体"/>
          <w:b w:val="0"/>
        </w:rPr>
        <w:outlineLvl w:val="0"/>
      </w:pPr>
      <w:r/>
      <w:bookmarkStart w:id="53" w:name="_Toc27539"/>
      <w:r>
        <w:rPr>
          <w:rFonts w:hint="eastAsia" w:ascii="宋体" w:hAnsi="宋体" w:eastAsia="宋体" w:cs="宋体"/>
          <w:b w:val="0"/>
        </w:rPr>
        <w:t xml:space="preserve">七、授予合同</w:t>
      </w:r>
      <w:bookmarkEnd w:id="53"/>
      <w:r/>
      <w:r/>
    </w:p>
    <w:p>
      <w:pPr>
        <w:pStyle w:val="792"/>
        <w:ind w:firstLine="562"/>
        <w:jc w:val="left"/>
        <w:spacing w:before="0" w:after="0" w:line="500" w:lineRule="exact"/>
        <w:rPr>
          <w:rFonts w:hint="eastAsia" w:ascii="宋体" w:hAnsi="宋体" w:eastAsia="宋体" w:cs="宋体"/>
          <w:sz w:val="28"/>
          <w:szCs w:val="28"/>
        </w:rPr>
        <w:outlineLvl w:val="1"/>
      </w:pPr>
      <w:r/>
      <w:bookmarkStart w:id="54" w:name="_Toc10163"/>
      <w:r>
        <w:rPr>
          <w:rFonts w:hint="eastAsia" w:ascii="宋体" w:hAnsi="宋体" w:eastAsia="宋体" w:cs="宋体"/>
          <w:sz w:val="28"/>
          <w:szCs w:val="28"/>
        </w:rPr>
        <w:t xml:space="preserve">30、签订合同</w:t>
      </w:r>
      <w:bookmarkEnd w:id="5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792"/>
        <w:ind w:firstLine="562"/>
        <w:jc w:val="left"/>
        <w:spacing w:before="0" w:after="0" w:line="500" w:lineRule="exact"/>
        <w:rPr>
          <w:rFonts w:hint="eastAsia" w:ascii="宋体" w:hAnsi="宋体" w:eastAsia="宋体" w:cs="宋体"/>
          <w:sz w:val="28"/>
          <w:szCs w:val="28"/>
        </w:rPr>
        <w:outlineLvl w:val="1"/>
      </w:pPr>
      <w:r/>
      <w:bookmarkStart w:id="55" w:name="_Toc6877"/>
      <w:r>
        <w:rPr>
          <w:rFonts w:hint="eastAsia" w:ascii="宋体" w:hAnsi="宋体" w:eastAsia="宋体" w:cs="宋体"/>
          <w:sz w:val="28"/>
          <w:szCs w:val="28"/>
        </w:rPr>
        <w:t xml:space="preserve">31、合同标的的追加</w:t>
      </w:r>
      <w:bookmarkEnd w:id="5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w:t>
      </w: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w:t>
      </w:r>
      <w:r/>
    </w:p>
    <w:p>
      <w:pPr>
        <w:pStyle w:val="792"/>
        <w:ind w:firstLine="562"/>
        <w:jc w:val="left"/>
        <w:spacing w:before="0" w:after="0" w:line="500" w:lineRule="exact"/>
        <w:rPr>
          <w:rFonts w:hint="eastAsia" w:ascii="宋体" w:hAnsi="宋体" w:eastAsia="宋体" w:cs="宋体"/>
          <w:sz w:val="28"/>
          <w:szCs w:val="28"/>
        </w:rPr>
        <w:outlineLvl w:val="1"/>
      </w:pPr>
      <w:r/>
      <w:bookmarkStart w:id="56" w:name="_Toc11313"/>
      <w:r>
        <w:rPr>
          <w:rFonts w:hint="eastAsia" w:ascii="宋体" w:hAnsi="宋体" w:eastAsia="宋体" w:cs="宋体"/>
          <w:sz w:val="28"/>
          <w:szCs w:val="28"/>
        </w:rPr>
        <w:t xml:space="preserve">32、政府采购履约资金扶持政策</w:t>
      </w:r>
      <w:bookmarkEnd w:id="5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91"/>
        <w:spacing w:before="0" w:after="0" w:line="500" w:lineRule="exact"/>
        <w:rPr>
          <w:rFonts w:hint="eastAsia" w:ascii="宋体" w:hAnsi="宋体" w:eastAsia="宋体" w:cs="宋体"/>
          <w:b w:val="0"/>
        </w:rPr>
        <w:outlineLvl w:val="0"/>
      </w:pPr>
      <w:r/>
      <w:bookmarkStart w:id="57" w:name="_Toc21356"/>
      <w:r>
        <w:rPr>
          <w:rFonts w:hint="eastAsia" w:ascii="宋体" w:hAnsi="宋体" w:eastAsia="宋体" w:cs="宋体"/>
          <w:b w:val="0"/>
        </w:rPr>
        <w:t xml:space="preserve">八、询问与质疑</w:t>
      </w:r>
      <w:bookmarkEnd w:id="57"/>
      <w:r/>
      <w:r/>
    </w:p>
    <w:p>
      <w:pPr>
        <w:pStyle w:val="792"/>
        <w:ind w:firstLine="562"/>
        <w:jc w:val="left"/>
        <w:spacing w:before="0" w:after="0" w:line="500" w:lineRule="exact"/>
        <w:rPr>
          <w:rFonts w:hint="eastAsia" w:ascii="宋体" w:hAnsi="宋体" w:eastAsia="宋体" w:cs="宋体"/>
          <w:sz w:val="28"/>
          <w:szCs w:val="28"/>
        </w:rPr>
        <w:outlineLvl w:val="1"/>
      </w:pPr>
      <w:r/>
      <w:bookmarkStart w:id="58" w:name="_Toc14601"/>
      <w:r>
        <w:rPr>
          <w:rFonts w:hint="eastAsia" w:ascii="宋体" w:hAnsi="宋体" w:eastAsia="宋体" w:cs="宋体"/>
          <w:sz w:val="28"/>
          <w:szCs w:val="28"/>
        </w:rPr>
        <w:t xml:space="preserve">33、询问</w:t>
      </w:r>
      <w:bookmarkEnd w:id="5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792"/>
        <w:ind w:firstLine="562"/>
        <w:jc w:val="left"/>
        <w:spacing w:before="0" w:after="0" w:line="500" w:lineRule="exact"/>
        <w:rPr>
          <w:rFonts w:hint="eastAsia" w:ascii="宋体" w:hAnsi="宋体" w:eastAsia="宋体" w:cs="宋体"/>
          <w:sz w:val="28"/>
          <w:szCs w:val="28"/>
        </w:rPr>
        <w:outlineLvl w:val="1"/>
      </w:pPr>
      <w:r/>
      <w:bookmarkStart w:id="59" w:name="_Toc28539"/>
      <w:r>
        <w:rPr>
          <w:rFonts w:hint="eastAsia" w:ascii="宋体" w:hAnsi="宋体" w:eastAsia="宋体" w:cs="宋体"/>
          <w:sz w:val="28"/>
          <w:szCs w:val="28"/>
        </w:rPr>
        <w:t xml:space="preserve">34、质疑提出</w:t>
      </w:r>
      <w:bookmarkEnd w:id="5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34.1提出质疑的投标人应当是参与所质疑项目采购活动的投标人。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未依照采购公告要求获取采购文件的投标人，视为未参与该项目采购活动，不具备对该采购文件提出质疑的法定权利。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34.4质疑函的接收方式为投标人书面原件提交。联系部门、联系电话和通讯地址详见招标文件第一章。质疑实行实名制，不得进行虚假、恶意质疑。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质疑函应当使用范本，详见招标文件第六章。投标人提出质疑应当提交质疑函和必要的证明材料，应当包括下列内容：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792"/>
        <w:ind w:firstLine="562"/>
        <w:jc w:val="left"/>
        <w:spacing w:before="0" w:after="0" w:line="500" w:lineRule="exact"/>
        <w:rPr>
          <w:rFonts w:hint="eastAsia" w:ascii="宋体" w:hAnsi="宋体" w:eastAsia="宋体" w:cs="宋体"/>
          <w:sz w:val="24"/>
          <w:szCs w:val="24"/>
        </w:rPr>
        <w:outlineLvl w:val="1"/>
      </w:pPr>
      <w:r/>
      <w:bookmarkStart w:id="60" w:name="_Toc27316"/>
      <w:r>
        <w:rPr>
          <w:rFonts w:hint="eastAsia" w:ascii="宋体" w:hAnsi="宋体" w:eastAsia="宋体" w:cs="宋体"/>
          <w:sz w:val="28"/>
          <w:szCs w:val="28"/>
        </w:rPr>
        <w:t xml:space="preserve">35、质疑函的受理和答复</w:t>
      </w:r>
      <w:bookmarkEnd w:id="6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对不符合质疑要求的，采购人、代理公司有权要求其补充必要的证明材料，质疑投标人未在法定的时间内提供补充必要的证明材料的，视同放弃质疑。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（4）未参加采购活动的投标人或在采购活动中自身权益未受到损害的投标人提出的质疑。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35.5采购人、代理公司依法受理的质疑，将按照政府采购有关规定，在法定期限内答复。</w:t>
      </w:r>
      <w:r/>
    </w:p>
    <w:p>
      <w:pPr>
        <w:pStyle w:val="792"/>
        <w:ind w:firstLine="562"/>
        <w:jc w:val="left"/>
        <w:spacing w:before="0" w:after="0" w:line="500" w:lineRule="exact"/>
        <w:rPr>
          <w:rFonts w:hint="eastAsia" w:ascii="宋体" w:hAnsi="宋体" w:eastAsia="宋体" w:cs="宋体"/>
          <w:sz w:val="28"/>
          <w:szCs w:val="28"/>
        </w:rPr>
        <w:outlineLvl w:val="1"/>
      </w:pPr>
      <w:r/>
      <w:bookmarkStart w:id="61" w:name="_Toc24583"/>
      <w:r>
        <w:rPr>
          <w:rFonts w:hint="eastAsia" w:ascii="宋体" w:hAnsi="宋体" w:eastAsia="宋体" w:cs="宋体"/>
          <w:sz w:val="28"/>
          <w:szCs w:val="28"/>
        </w:rPr>
        <w:t xml:space="preserve">36、质疑处理</w:t>
      </w:r>
      <w:bookmarkEnd w:id="6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 质疑投标人不配合或者采用不正当手段干扰政府采购质疑、投诉处理工作的，视为一般失信行为。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36.6 质疑投标人在全国范围12个月内三次以上投诉查无实据的，视为严重失信行为。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36.7未尽事宜，依照有关法律、法规执行。</w:t>
      </w:r>
      <w:r/>
    </w:p>
    <w:p>
      <w:pPr>
        <w:pStyle w:val="791"/>
        <w:spacing w:before="0" w:after="0" w:line="500" w:lineRule="exact"/>
        <w:rPr>
          <w:rFonts w:hint="eastAsia" w:ascii="宋体" w:hAnsi="宋体" w:eastAsia="宋体" w:cs="宋体"/>
          <w:b w:val="0"/>
        </w:rPr>
        <w:outlineLvl w:val="0"/>
      </w:pPr>
      <w:r/>
      <w:bookmarkStart w:id="62" w:name="_Toc17159"/>
      <w:r>
        <w:rPr>
          <w:rFonts w:hint="eastAsia" w:ascii="宋体" w:hAnsi="宋体" w:eastAsia="宋体" w:cs="宋体"/>
          <w:b w:val="0"/>
        </w:rPr>
        <w:t xml:space="preserve">九、政府采购政策功能</w:t>
      </w:r>
      <w:bookmarkEnd w:id="62"/>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1、对于小型、微型企业、监狱企业、残疾人福利性单位报价以扣除优惠比率后的价格参与评审，但不作为中标价和合同签约价。中标价和合同签约价仍以其投标文件中的一次报价为准。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2、价格给予扣除标准：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szCs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本项目价格扣除计算方法如下：参与报价得分计算的价格＝投标人的投标报价-小型、微型企业、监狱企业、残疾人福利性单位的投标报价×10%。</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3、参加政府采购活动的供应商享受价格评审优惠的应当提供的材料：</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（1）供应商为小型、微型企业的，提供《中小企业声明函》（第六部分“投标文件格式”）。</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（2）供应商为残疾人福利性单位的，符合财库〔2017〕141号文件规定条件的残疾人福利性单位视同小型、微型企业，提供《残疾人福利性单位声明函》（第六部分“投标文件格式”）。</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（3）供应商为监狱企业的，提供省级以上监狱管理局、戒毒管理局（含新疆生产建设兵团）出具的属于监狱企业的证明文件。</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w:t>
      </w:r>
      <w:r>
        <w:rPr>
          <w:rFonts w:hint="eastAsia" w:ascii="宋体" w:hAnsi="宋体" w:eastAsia="宋体" w:cs="宋体"/>
          <w:color w:val="auto"/>
          <w:sz w:val="24"/>
          <w:szCs w:val="24"/>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both"/>
        <w:keepLines w:val="0"/>
        <w:keepNext w:val="0"/>
        <w:pageBreakBefore w:val="0"/>
        <w:spacing w:line="48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33.2支持绿色发展</w:t>
      </w:r>
      <w:r/>
    </w:p>
    <w:p>
      <w:pPr>
        <w:ind w:firstLine="480"/>
        <w:jc w:val="both"/>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790"/>
        <w:jc w:val="center"/>
        <w:spacing w:before="156" w:after="156" w:line="360" w:lineRule="auto"/>
        <w:rPr>
          <w:rFonts w:hint="eastAsia" w:ascii="宋体" w:hAnsi="宋体" w:eastAsia="宋体" w:cs="宋体"/>
          <w:b w:val="0"/>
        </w:rPr>
      </w:pPr>
      <w:r/>
      <w:bookmarkStart w:id="63" w:name="_Toc155796358"/>
      <w:r/>
      <w:bookmarkStart w:id="64" w:name="_Toc21196"/>
      <w:r/>
      <w:bookmarkStart w:id="65" w:name="_Toc10575"/>
      <w:r>
        <w:rPr>
          <w:rFonts w:hint="eastAsia" w:ascii="宋体" w:hAnsi="宋体" w:eastAsia="宋体" w:cs="宋体"/>
          <w:b w:val="0"/>
        </w:rPr>
        <w:t xml:space="preserve">第三章合同文本</w:t>
      </w:r>
      <w:bookmarkEnd w:id="63"/>
      <w:r/>
      <w:bookmarkEnd w:id="64"/>
      <w:r/>
      <w:bookmarkEnd w:id="6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（备注：以下为中标后签订本项目合同的通用条款，中标人不得提出实质性的修改）</w:t>
      </w:r>
      <w:r/>
    </w:p>
    <w:p>
      <w:pPr>
        <w:jc w:val="center"/>
        <w:spacing w:line="500" w:lineRule="exact"/>
        <w:rPr>
          <w:rFonts w:hint="eastAsia" w:ascii="宋体" w:hAnsi="宋体" w:eastAsia="宋体" w:cs="宋体"/>
          <w:sz w:val="32"/>
          <w:szCs w:val="24"/>
        </w:rPr>
        <w:outlineLvl w:val="0"/>
      </w:pPr>
      <w:r/>
      <w:bookmarkStart w:id="66" w:name="_Toc16"/>
      <w:r>
        <w:rPr>
          <w:rFonts w:hint="eastAsia" w:ascii="宋体" w:hAnsi="宋体" w:eastAsia="宋体" w:cs="宋体"/>
          <w:sz w:val="32"/>
          <w:szCs w:val="24"/>
        </w:rPr>
        <w:t xml:space="preserve">连云港市政府采购合同（服务）</w:t>
      </w:r>
      <w:bookmarkEnd w:id="66"/>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left"/>
        <w:spacing w:line="500" w:lineRule="exact"/>
        <w:rPr>
          <w:sz w:val="24"/>
          <w:szCs w:val="24"/>
        </w:rPr>
      </w:pPr>
      <w:r/>
      <w:bookmarkStart w:id="67" w:name="_Toc155796359"/>
      <w:r/>
      <w:bookmarkStart w:id="68" w:name="_Toc3380"/>
      <w:r/>
      <w:bookmarkStart w:id="69" w:name="_Toc11244"/>
      <w:r>
        <w:rPr>
          <w:rFonts w:ascii="Arial" w:hAnsi="Arial" w:cs="Arial"/>
          <w:sz w:val="24"/>
          <w:szCs w:val="24"/>
        </w:rPr>
        <w:t xml:space="preserve">甲方：（买方）</w:t>
      </w:r>
      <w:r>
        <w:rPr>
          <w:rFonts w:cs="Calibri"/>
          <w:sz w:val="24"/>
          <w:szCs w:val="24"/>
        </w:rPr>
        <w:t xml:space="preserve">_________</w:t>
      </w:r>
      <w:r/>
    </w:p>
    <w:p>
      <w:pPr>
        <w:jc w:val="left"/>
        <w:spacing w:line="500" w:lineRule="exact"/>
        <w:rPr>
          <w:sz w:val="24"/>
          <w:szCs w:val="24"/>
        </w:rPr>
      </w:pPr>
      <w:r>
        <w:rPr>
          <w:rFonts w:ascii="Arial" w:hAnsi="Arial" w:cs="Arial"/>
          <w:sz w:val="24"/>
          <w:szCs w:val="24"/>
        </w:rPr>
        <w:t xml:space="preserve">乙方：（卖方）</w:t>
      </w:r>
      <w:r>
        <w:rPr>
          <w:rFonts w:cs="Calibri"/>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rFonts w:ascii="Arial" w:hAnsi="Arial" w:cs="Arial"/>
          <w:sz w:val="24"/>
          <w:szCs w:val="24"/>
        </w:rPr>
        <w:t xml:space="preserve">服务内容：</w:t>
      </w:r>
      <w:r/>
    </w:p>
    <w:p>
      <w:pPr>
        <w:ind w:firstLine="480"/>
        <w:jc w:val="left"/>
        <w:spacing w:line="500" w:lineRule="exact"/>
        <w:rPr>
          <w:sz w:val="24"/>
          <w:szCs w:val="24"/>
        </w:rPr>
      </w:pPr>
      <w:r>
        <w:rPr>
          <w:sz w:val="24"/>
          <w:szCs w:val="24"/>
        </w:rPr>
        <w:t xml:space="preserve">1.2 </w:t>
      </w:r>
      <w:r>
        <w:rPr>
          <w:rFonts w:ascii="Arial" w:hAnsi="Arial" w:cs="Arial"/>
          <w:sz w:val="24"/>
          <w:szCs w:val="24"/>
        </w:rPr>
        <w:t xml:space="preserve">服务要求：</w:t>
      </w:r>
      <w:r/>
    </w:p>
    <w:p>
      <w:pPr>
        <w:ind w:firstLine="480"/>
        <w:jc w:val="left"/>
        <w:spacing w:line="500" w:lineRule="exact"/>
        <w:rPr>
          <w:sz w:val="24"/>
          <w:szCs w:val="24"/>
        </w:rPr>
      </w:pPr>
      <w:r>
        <w:rPr>
          <w:rFonts w:cs="Calibri"/>
          <w:sz w:val="24"/>
          <w:szCs w:val="24"/>
        </w:rPr>
        <w:t xml:space="preserve">1.3 </w:t>
      </w:r>
      <w:r>
        <w:rPr>
          <w:rFonts w:ascii="Arial" w:hAnsi="Arial" w:cs="Arial"/>
          <w:sz w:val="24"/>
          <w:szCs w:val="24"/>
        </w:rPr>
        <w:t xml:space="preserve">服务标准：</w:t>
      </w:r>
      <w:r/>
    </w:p>
    <w:p>
      <w:pPr>
        <w:ind w:firstLine="480"/>
        <w:rPr>
          <w:szCs w:val="21"/>
        </w:rPr>
      </w:pPr>
      <w:r>
        <w:rPr>
          <w:sz w:val="24"/>
          <w:szCs w:val="24"/>
        </w:rPr>
        <w:t xml:space="preserve">1.</w:t>
      </w:r>
      <w:r>
        <w:rPr>
          <w:rFonts w:cs="Calibri"/>
          <w:sz w:val="24"/>
          <w:szCs w:val="24"/>
        </w:rPr>
        <w:t xml:space="preserve">4</w:t>
      </w:r>
      <w:r>
        <w:rPr>
          <w:sz w:val="24"/>
          <w:szCs w:val="24"/>
        </w:rPr>
        <w:t xml:space="preserve"> </w:t>
      </w:r>
      <w:r>
        <w:rPr>
          <w:rFonts w:ascii="Arial" w:hAnsi="Arial" w:cs="Arial"/>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sz w:val="24"/>
          <w:szCs w:val="24"/>
          <w:u w:val="single"/>
        </w:rPr>
        <w:t xml:space="preserve">    </w:t>
      </w:r>
      <w:r>
        <w:rPr>
          <w:rFonts w:hint="eastAsia"/>
          <w:sz w:val="24"/>
          <w:szCs w:val="24"/>
        </w:rPr>
        <w:t xml:space="preserve">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四、知识产权</w:t>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五、产权担保</w:t>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5.1 乙方保证所交付标的的所有权完全属于乙方且无任何抵押、查封等产权瑕疵。</w:t>
      </w:r>
      <w:r/>
    </w:p>
    <w:p>
      <w:pPr>
        <w:ind w:firstLine="482"/>
        <w:jc w:val="left"/>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六、履约保证金</w:t>
      </w:r>
      <w:r/>
    </w:p>
    <w:p>
      <w:pPr>
        <w:ind w:firstLine="480"/>
        <w:jc w:val="left"/>
        <w:spacing w:line="500" w:lineRule="exact"/>
        <w:rPr>
          <w:sz w:val="24"/>
          <w:szCs w:val="24"/>
        </w:rPr>
      </w:pPr>
      <w:r>
        <w:rPr>
          <w:rFonts w:hint="eastAsia" w:ascii="宋体" w:hAnsi="宋体" w:eastAsia="宋体" w:cs="Times New Roman"/>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w:t>
      </w:r>
      <w:r>
        <w:rPr>
          <w:rFonts w:hint="eastAsia"/>
          <w:sz w:val="24"/>
          <w:szCs w:val="24"/>
          <w:u w:val="single"/>
        </w:rPr>
        <w:t xml:space="preserve"> </w:t>
      </w:r>
      <w:r>
        <w:rPr>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w:t>
      </w:r>
      <w:r>
        <w:rPr>
          <w:rFonts w:hint="eastAsia" w:eastAsia="宋体"/>
          <w:sz w:val="24"/>
          <w:szCs w:val="24"/>
          <w:u w:val="single"/>
          <w:lang w:val="en-US" w:eastAsia="zh-CN"/>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w:t>
      </w:r>
      <w:r>
        <w:rPr>
          <w:rFonts w:hint="eastAsia" w:eastAsia="宋体"/>
          <w:sz w:val="24"/>
          <w:szCs w:val="24"/>
          <w:lang w:val="en-US" w:eastAsia="zh-CN"/>
        </w:rPr>
        <w:t xml:space="preserve">徐圩新区</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rFonts w:hint="eastAsia"/>
          <w:sz w:val="24"/>
          <w:szCs w:val="24"/>
        </w:rPr>
      </w:pPr>
      <w:r>
        <w:rPr>
          <w:rFonts w:hint="eastAsia"/>
          <w:sz w:val="24"/>
          <w:szCs w:val="24"/>
        </w:rPr>
        <w:t xml:space="preserve">                                 签订日期：       年    月    日</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pStyle w:val="790"/>
        <w:jc w:val="center"/>
        <w:spacing w:before="156" w:after="156" w:line="460" w:lineRule="exact"/>
        <w:rPr>
          <w:rFonts w:hint="eastAsia" w:ascii="宋体" w:hAnsi="宋体" w:eastAsia="宋体" w:cs="宋体"/>
          <w:b w:val="0"/>
        </w:rPr>
      </w:pPr>
      <w:r>
        <w:rPr>
          <w:rFonts w:hint="eastAsia" w:ascii="宋体" w:hAnsi="宋体" w:eastAsia="宋体" w:cs="宋体"/>
          <w:b w:val="0"/>
        </w:rPr>
        <w:t xml:space="preserve">第四章采购需求</w:t>
      </w:r>
      <w:bookmarkEnd w:id="67"/>
      <w:r/>
      <w:bookmarkEnd w:id="68"/>
      <w:r/>
      <w:bookmarkEnd w:id="69"/>
      <w:r/>
      <w:r/>
    </w:p>
    <w:p>
      <w:pPr>
        <w:ind w:firstLine="480"/>
        <w:jc w:val="left"/>
        <w:spacing w:line="460" w:lineRule="exact"/>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说明：本项目采购方式为公开招标，本项目属性为</w:t>
      </w:r>
      <w:r>
        <w:rPr>
          <w:rFonts w:hint="eastAsia" w:ascii="宋体" w:hAnsi="宋体" w:eastAsia="宋体" w:cs="宋体"/>
          <w:b/>
          <w:sz w:val="24"/>
          <w:szCs w:val="24"/>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ind w:firstLine="48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根据《政府采购需求管理办法》等有关规定，采购人确定采购需求。</w:t>
      </w:r>
      <w:r/>
    </w:p>
    <w:p>
      <w:pPr>
        <w:ind w:firstLine="480"/>
        <w:jc w:val="left"/>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lang w:eastAsia="zh-CN"/>
        </w:rPr>
        <w:t xml:space="preserve">、</w:t>
      </w:r>
      <w:r>
        <w:rPr>
          <w:rFonts w:hint="eastAsia" w:ascii="Calibri" w:hAnsi="Calibri" w:eastAsia="宋体" w:cs="Times New Roman"/>
          <w:b/>
          <w:sz w:val="24"/>
          <w:szCs w:val="24"/>
        </w:rPr>
        <w:t xml:space="preserve">本</w:t>
      </w:r>
      <w:r>
        <w:rPr>
          <w:rFonts w:hint="eastAsia" w:ascii="Calibri" w:hAnsi="Calibri" w:eastAsia="宋体" w:cs="Times New Roman"/>
          <w:b/>
          <w:sz w:val="24"/>
          <w:szCs w:val="24"/>
          <w:lang w:val="en-US" w:eastAsia="zh-CN"/>
        </w:rPr>
        <w:t xml:space="preserve">招标文</w:t>
      </w:r>
      <w:r>
        <w:rPr>
          <w:rFonts w:hint="eastAsia" w:ascii="Calibri" w:hAnsi="Calibri" w:eastAsia="宋体" w:cs="Times New Roman"/>
          <w:b/>
          <w:sz w:val="24"/>
          <w:szCs w:val="24"/>
        </w:rPr>
        <w:t xml:space="preserve">件中</w:t>
      </w:r>
      <w:r>
        <w:rPr>
          <w:rFonts w:hint="eastAsia" w:ascii="Calibri" w:hAnsi="Calibri" w:eastAsia="宋体" w:cs="Times New Roman"/>
          <w:b/>
          <w:i/>
          <w:color w:val="auto"/>
          <w:sz w:val="24"/>
          <w:szCs w:val="24"/>
          <w:u w:val="single"/>
        </w:rPr>
        <w:t xml:space="preserve">斜体且有下划线部分</w:t>
      </w:r>
      <w:r>
        <w:rPr>
          <w:rFonts w:hint="eastAsia" w:ascii="Calibri" w:hAnsi="Calibri" w:eastAsia="宋体" w:cs="Times New Roman"/>
          <w:b/>
          <w:sz w:val="24"/>
          <w:szCs w:val="24"/>
        </w:rPr>
        <w:t xml:space="preserve">为实质性要求和条件</w:t>
      </w:r>
      <w:r>
        <w:rPr>
          <w:rFonts w:hint="eastAsia" w:ascii="Calibri" w:hAnsi="Calibri" w:eastAsia="宋体" w:cs="Times New Roman"/>
          <w:sz w:val="24"/>
          <w:szCs w:val="24"/>
        </w:rPr>
        <w:t xml:space="preserve">，由采购人根据实际情况设置，供应商须逐条明确作出满足实质性要求和条件的响应，否则将按无效响应处理。</w:t>
      </w:r>
      <w:r/>
    </w:p>
    <w:tbl>
      <w:tblPr>
        <w:tblStyle w:val="82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p>
        </w:tc>
      </w:tr>
      <w:tr>
        <w:trPr>
          <w:jc w:val="center"/>
          <w:trHeight w:val="451"/>
        </w:trPr>
        <w:tc>
          <w:tcPr>
            <w:tcBorders>
              <w:top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7689" w:type="dxa"/>
            <w:vAlign w:val="center"/>
            <w:textDirection w:val="lrTb"/>
            <w:noWrap w:val="false"/>
          </w:tcPr>
          <w:p>
            <w:pPr>
              <w:jc w:val="center"/>
              <w:keepLines w:val="0"/>
              <w:keepNext w:val="0"/>
              <w:pageBreakBefore w:val="0"/>
              <w:spacing w:line="240" w:lineRule="auto"/>
              <w:widowControl w:val="off"/>
              <w:rPr>
                <w:rFonts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Height w:val="454"/>
        </w:trPr>
        <w:tc>
          <w:tcPr>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689" w:type="dxa"/>
            <w:vAlign w:val="center"/>
            <w:textDirection w:val="lrTb"/>
            <w:noWrap w:val="false"/>
          </w:tcPr>
          <w:p>
            <w:pPr>
              <w:keepLines w:val="0"/>
              <w:keepNext w:val="0"/>
              <w:pageBreakBefore w:val="0"/>
              <w:spacing w:line="240" w:lineRule="auto"/>
              <w:widowControl w:val="off"/>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 xml:space="preserve">合同履行期限：</w:t>
            </w:r>
            <w:r>
              <w:rPr>
                <w:rFonts w:hint="eastAsia" w:ascii="宋体" w:hAnsi="宋体" w:eastAsia="宋体" w:cs="宋体"/>
                <w:i/>
                <w:iCs/>
                <w:sz w:val="24"/>
                <w:szCs w:val="24"/>
                <w:highlight w:val="none"/>
                <w:u w:val="single"/>
                <w:lang w:val="en-US" w:eastAsia="zh-CN"/>
              </w:rPr>
              <w:t xml:space="preserve">三</w:t>
            </w:r>
            <w:r>
              <w:rPr>
                <w:rFonts w:hint="eastAsia" w:ascii="宋体" w:hAnsi="宋体" w:eastAsia="宋体" w:cs="宋体"/>
                <w:i/>
                <w:iCs/>
                <w:sz w:val="24"/>
                <w:szCs w:val="24"/>
                <w:highlight w:val="none"/>
                <w:u w:val="single"/>
                <w:lang w:eastAsia="zh-CN"/>
              </w:rPr>
              <w:t xml:space="preserve">年，具体保险期间以保单所载为准。</w:t>
            </w:r>
            <w:r/>
          </w:p>
        </w:tc>
      </w:tr>
      <w:tr>
        <w:trPr>
          <w:jc w:val="center"/>
          <w:trHeight w:val="501"/>
        </w:trPr>
        <w:tc>
          <w:tcPr>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689" w:type="dxa"/>
            <w:vAlign w:val="center"/>
            <w:textDirection w:val="lrTb"/>
            <w:noWrap w:val="false"/>
          </w:tcPr>
          <w:p>
            <w:pPr>
              <w:keepLines w:val="0"/>
              <w:keepNext w:val="0"/>
              <w:pageBreakBefore w:val="0"/>
              <w:spacing w:line="240" w:lineRule="auto"/>
              <w:widowControl w:val="off"/>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 xml:space="preserve">付款方式：按保单年度付款，保单发票出具后三个月内对公转账。</w:t>
            </w:r>
            <w:r/>
          </w:p>
        </w:tc>
      </w:tr>
      <w:tr>
        <w:trPr>
          <w:jc w:val="center"/>
          <w:trHeight w:val="411"/>
        </w:trPr>
        <w:tc>
          <w:tcPr>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689" w:type="dxa"/>
            <w:vAlign w:val="center"/>
            <w:textDirection w:val="lrTb"/>
            <w:noWrap w:val="false"/>
          </w:tcPr>
          <w:p>
            <w:pPr>
              <w:keepLines w:val="0"/>
              <w:keepNext w:val="0"/>
              <w:pageBreakBefore w:val="0"/>
              <w:spacing w:line="240" w:lineRule="auto"/>
              <w:widowControl w:val="off"/>
              <w:rPr>
                <w:rFonts w:ascii="宋体" w:hAnsi="宋体" w:eastAsia="宋体" w:cs="Times New Roman"/>
                <w:i/>
                <w:iCs/>
                <w:sz w:val="24"/>
                <w:highlight w:val="none"/>
                <w:u w:val="single"/>
              </w:rPr>
            </w:pPr>
            <w:r>
              <w:rPr>
                <w:rFonts w:hint="eastAsia" w:ascii="宋体" w:hAnsi="宋体" w:eastAsia="宋体" w:cs="宋体"/>
                <w:i/>
                <w:iCs/>
                <w:sz w:val="24"/>
                <w:szCs w:val="24"/>
                <w:highlight w:val="none"/>
                <w:u w:val="single"/>
                <w:lang w:eastAsia="zh-CN"/>
              </w:rPr>
              <w:t xml:space="preserve">服务质量要求：符合国家新《中华人民共和国保险法》的相关标准或行业标准。</w:t>
            </w:r>
            <w:r/>
          </w:p>
        </w:tc>
      </w:tr>
    </w:tbl>
    <w:p>
      <w:pPr>
        <w:ind w:firstLine="480"/>
        <w:jc w:val="left"/>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numPr>
          <w:ilvl w:val="0"/>
          <w:numId w:val="0"/>
        </w:numPr>
        <w:ind w:left="0" w:firstLine="0"/>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outlineLvl w:val="0"/>
      </w:pPr>
      <w:r/>
      <w:bookmarkStart w:id="70" w:name="_Toc5238"/>
      <w:r>
        <w:rPr>
          <w:rFonts w:hint="eastAsia" w:ascii="宋体" w:hAnsi="宋体" w:eastAsia="宋体" w:cs="Times New Roman"/>
          <w:b/>
          <w:bCs/>
          <w:sz w:val="24"/>
          <w:szCs w:val="24"/>
          <w:lang w:val="en-US" w:eastAsia="zh-CN" w:bidi="ar-SA"/>
        </w:rPr>
        <w:t xml:space="preserve">一、</w:t>
      </w:r>
      <w:r>
        <w:rPr>
          <w:rFonts w:hint="eastAsia" w:ascii="宋体" w:hAnsi="宋体" w:eastAsia="宋体" w:cs="Times New Roman"/>
          <w:b/>
          <w:bCs/>
          <w:sz w:val="24"/>
          <w:szCs w:val="24"/>
          <w:highlight w:val="none"/>
          <w:lang w:val="en-US" w:eastAsia="zh-CN"/>
        </w:rPr>
        <w:t xml:space="preserve">项目基本情况</w:t>
      </w:r>
      <w:bookmarkEnd w:id="70"/>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（一）项目名称：</w:t>
      </w:r>
      <w:r>
        <w:rPr>
          <w:rFonts w:hint="eastAsia" w:ascii="宋体" w:hAnsi="宋体" w:eastAsia="宋体" w:cs="Times New Roman"/>
          <w:sz w:val="24"/>
          <w:szCs w:val="24"/>
          <w:lang w:val="en-US" w:eastAsia="zh-CN"/>
        </w:rPr>
        <w:t xml:space="preserve">徐圩新区2026-2028年政策性农业保险服务</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（二）承保模式：</w:t>
      </w:r>
      <w:r>
        <w:rPr>
          <w:rFonts w:hint="eastAsia" w:ascii="宋体" w:hAnsi="宋体" w:eastAsia="宋体" w:cs="Times New Roman"/>
          <w:sz w:val="24"/>
          <w:szCs w:val="24"/>
          <w:lang w:eastAsia="zh-CN"/>
        </w:rPr>
        <w:t xml:space="preserve">在</w:t>
      </w:r>
      <w:r>
        <w:rPr>
          <w:rFonts w:hint="eastAsia" w:ascii="宋体" w:hAnsi="宋体" w:eastAsia="宋体" w:cs="Times New Roman"/>
          <w:sz w:val="24"/>
          <w:szCs w:val="24"/>
        </w:rPr>
        <w:t xml:space="preserve">连云港市徐圩新区行政区域</w:t>
      </w:r>
      <w:r>
        <w:rPr>
          <w:rFonts w:hint="eastAsia" w:ascii="宋体" w:hAnsi="宋体" w:eastAsia="宋体" w:cs="Times New Roman"/>
          <w:sz w:val="24"/>
          <w:szCs w:val="24"/>
          <w:lang w:eastAsia="zh-CN"/>
        </w:rPr>
        <w:t xml:space="preserve">内确定一家供应商提供政策性农业保险服务。</w:t>
      </w:r>
      <w:r/>
    </w:p>
    <w:p>
      <w:pPr>
        <w:ind w:firstLine="480"/>
        <w:jc w:val="left"/>
        <w:spacing w:line="560" w:lineRule="exact"/>
        <w:tabs>
          <w:tab w:val="left" w:pos="900" w:leader="none"/>
        </w:tabs>
        <w:rPr>
          <w:rFonts w:hint="eastAsia" w:ascii="宋体" w:hAnsi="宋体" w:eastAsia="宋体" w:cs="Times New Roman"/>
          <w:color w:val="auto"/>
          <w:sz w:val="24"/>
          <w:szCs w:val="24"/>
          <w:highlight w:val="green"/>
          <w:lang w:eastAsia="zh-CN"/>
        </w:rPr>
      </w:pPr>
      <w:r>
        <w:rPr>
          <w:rFonts w:hint="eastAsia" w:ascii="宋体" w:hAnsi="宋体" w:eastAsia="宋体" w:cs="Times New Roman"/>
          <w:sz w:val="24"/>
          <w:szCs w:val="24"/>
        </w:rPr>
        <w:t xml:space="preserve">（三）承保险种。</w:t>
      </w:r>
      <w:r>
        <w:rPr>
          <w:rFonts w:hint="eastAsia" w:ascii="宋体" w:hAnsi="宋体" w:eastAsia="宋体" w:cs="Times New Roman"/>
          <w:color w:val="auto"/>
          <w:sz w:val="24"/>
          <w:szCs w:val="24"/>
          <w:highlight w:val="none"/>
          <w:lang w:eastAsia="zh-CN"/>
        </w:rPr>
        <w:t xml:space="preserve">包括不限于水稻、小麦、玉米等主要种植业保险，育肥猪等主要养殖业保险，设施大棚等政策性（财政奖补保费）险种，以及根据上级有关规定及本地实际情况增设的奖补险种。</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（四）投保自愿。农业保险坚持投保自愿原则。农户自愿投保所需险种，在缴纳应付保险费的同时，保险合同生效，享受政府相应补贴。</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（五）政府引导。财政部门通过保险费补贴等政策支持，鼓励和引导农户、农业生产经营组织投保农业保险。农业保险财政补贴按照省、市、县财政部门的相关规定实施。</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（六）险种标准。供应商承保政策性险种应严格执行省、市、县下发的关于条款及费率、指导意见等文件实施。保险险种、保险金额或赔偿限额根据市、县要求。</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（七）鼓励创新。</w:t>
      </w:r>
      <w:r>
        <w:rPr>
          <w:rFonts w:hint="eastAsia" w:ascii="宋体" w:hAnsi="宋体" w:eastAsia="宋体" w:cs="Times New Roman"/>
          <w:sz w:val="24"/>
          <w:szCs w:val="24"/>
          <w:lang w:eastAsia="zh-CN"/>
        </w:rPr>
        <w:t xml:space="preserve">中标供应商积极探索开发适合承保区域农业生产特点的农业保险新险种，不断提高农业保险产品供给能力。</w:t>
      </w:r>
      <w:r>
        <w:rPr>
          <w:rFonts w:hint="eastAsia" w:ascii="宋体" w:hAnsi="宋体" w:eastAsia="宋体" w:cs="Times New Roman"/>
          <w:sz w:val="24"/>
          <w:szCs w:val="24"/>
        </w:rPr>
        <w:t xml:space="preserve">拟开办新险种的保险条款，接受</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指导管理。新开办保险品种按照“谁开办、谁受益”的原则给与保护期支持，保护期按照省市有关规定执行，没有规定的，与本协议截止时间一致。</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（八）</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供应商不能满足当地农民和农业生产组织需求的政策性险种，</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可以另行组织政府采购活动授权符合江苏经营农业保险条件的保险机构经办。</w:t>
      </w:r>
      <w:r/>
    </w:p>
    <w:p>
      <w:pPr>
        <w:jc w:val="left"/>
        <w:spacing w:line="560" w:lineRule="exact"/>
        <w:tabs>
          <w:tab w:val="left" w:pos="90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二、服务技术要求及相关说明</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（一）服务范围：连云港市徐圩新区行政区域。</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（二）服务期限：三年。</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（三）服务要求：供应商需要配备专业人员和协保员，保证每个</w:t>
      </w:r>
      <w:r>
        <w:rPr>
          <w:rFonts w:hint="eastAsia" w:ascii="宋体" w:hAnsi="宋体" w:eastAsia="宋体" w:cs="Times New Roman"/>
          <w:sz w:val="24"/>
          <w:szCs w:val="24"/>
          <w:lang w:eastAsia="zh-CN"/>
        </w:rPr>
        <w:t xml:space="preserve">街道</w:t>
      </w:r>
      <w:r>
        <w:rPr>
          <w:rFonts w:hint="eastAsia" w:ascii="宋体" w:hAnsi="宋体" w:eastAsia="宋体" w:cs="Times New Roman"/>
          <w:sz w:val="24"/>
          <w:szCs w:val="24"/>
        </w:rPr>
        <w:t xml:space="preserve">和行政村农业保险服务网点的服务功能，能够深入农村做好农业保险政策宣传、业务培训、承保、勘查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报告农业保险经营情况、财务情况；完成省、市、</w:t>
      </w:r>
      <w:r>
        <w:rPr>
          <w:rFonts w:hint="eastAsia" w:ascii="宋体" w:hAnsi="宋体" w:eastAsia="宋体" w:cs="Times New Roman"/>
          <w:sz w:val="24"/>
          <w:szCs w:val="24"/>
          <w:lang w:eastAsia="zh-CN"/>
        </w:rPr>
        <w:t xml:space="preserve">区</w:t>
      </w:r>
      <w:r>
        <w:rPr>
          <w:rFonts w:hint="eastAsia" w:ascii="宋体" w:hAnsi="宋体" w:eastAsia="宋体" w:cs="Times New Roman"/>
          <w:sz w:val="24"/>
          <w:szCs w:val="24"/>
        </w:rPr>
        <w:t xml:space="preserve">下达的农业保险高质量发展目标任务。</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（四）服务标准：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组织及业务管理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设置农险</w:t>
      </w:r>
      <w:r>
        <w:rPr>
          <w:rFonts w:hint="eastAsia" w:ascii="宋体" w:hAnsi="宋体" w:eastAsia="宋体" w:cs="Times New Roman"/>
          <w:sz w:val="24"/>
          <w:szCs w:val="24"/>
          <w:lang w:eastAsia="zh-CN"/>
        </w:rPr>
        <w:t xml:space="preserve">责任</w:t>
      </w:r>
      <w:r>
        <w:rPr>
          <w:rFonts w:hint="eastAsia" w:ascii="宋体" w:hAnsi="宋体" w:eastAsia="宋体" w:cs="Times New Roman"/>
          <w:sz w:val="24"/>
          <w:szCs w:val="24"/>
        </w:rPr>
        <w:t xml:space="preserve">部门，配置农险管理类、业务发展类、理赔服务类</w:t>
      </w:r>
      <w:r>
        <w:rPr>
          <w:rFonts w:hint="eastAsia" w:ascii="宋体" w:hAnsi="宋体" w:eastAsia="宋体" w:cs="Times New Roman"/>
          <w:sz w:val="24"/>
          <w:szCs w:val="24"/>
          <w:lang w:eastAsia="zh-CN"/>
        </w:rPr>
        <w:t xml:space="preserve">等专职</w:t>
      </w:r>
      <w:r>
        <w:rPr>
          <w:rFonts w:hint="eastAsia" w:ascii="宋体" w:hAnsi="宋体" w:eastAsia="宋体" w:cs="Times New Roman"/>
          <w:sz w:val="24"/>
          <w:szCs w:val="24"/>
        </w:rPr>
        <w:t xml:space="preserve">人员，做好农业保险有关工作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专业技术人员在业务素质和数量上能够适应服务工作要求。</w:t>
      </w:r>
      <w:r/>
    </w:p>
    <w:p>
      <w:pPr>
        <w:ind w:firstLine="480"/>
        <w:jc w:val="left"/>
        <w:spacing w:line="560" w:lineRule="exact"/>
        <w:tabs>
          <w:tab w:val="left" w:pos="900" w:leader="none"/>
        </w:tabs>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2）供应商具备在连云港市提供应急服务的能力，安排服务人员，保证农业保险服务正常运行，能够深入农村高质量做好农业保险服务工作。在发生重大灾害、疫病及其他突发情况时，能够提供必要的应急服务，能在2小时内现场响应甲方，接受甲方统一安排工作。</w:t>
      </w:r>
      <w:r/>
    </w:p>
    <w:p>
      <w:pPr>
        <w:ind w:firstLine="480"/>
        <w:jc w:val="left"/>
        <w:spacing w:line="560" w:lineRule="exact"/>
        <w:tabs>
          <w:tab w:val="left" w:pos="900" w:leader="none"/>
        </w:tabs>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供应商应配不少于2台服务车辆，服务车辆数量能够满足日常承保、理赔服务需求，同时在自然灾害、重大疫情等突发情况下，有足够数量的应急使用车辆响应相关工作安排。</w:t>
      </w:r>
      <w:r/>
    </w:p>
    <w:p>
      <w:pPr>
        <w:ind w:firstLine="480"/>
        <w:jc w:val="left"/>
        <w:spacing w:line="560" w:lineRule="exact"/>
        <w:tabs>
          <w:tab w:val="left" w:pos="900" w:leader="none"/>
        </w:tabs>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供应商农险业务信息系统与其他保险业务分开管理，具备相对独立、功能完善的农业保险信息管理系统，具备数据管理和统计分析功能，能够直接导出承保、理赔、批改等数据，满足及时、准确报送农业保险数据信息的功能。</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及时完成相关人员的培训工作，专业技术人员在业务素质和数量上要充分保障本项目相关条件及要求。每年对保险业务人员、服务人员、种养大户、村组干部至少开展2次宣传培训活动。</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按照《江苏省</w:t>
      </w:r>
      <w:r>
        <w:rPr>
          <w:rFonts w:hint="eastAsia" w:ascii="宋体" w:hAnsi="宋体" w:eastAsia="宋体" w:cs="Times New Roman"/>
          <w:sz w:val="24"/>
          <w:szCs w:val="24"/>
          <w:lang w:eastAsia="zh-CN"/>
        </w:rPr>
        <w:t xml:space="preserve">省级财政农业保险保费补贴管理办法</w:t>
      </w:r>
      <w:r>
        <w:rPr>
          <w:rFonts w:hint="eastAsia" w:ascii="宋体" w:hAnsi="宋体" w:eastAsia="宋体" w:cs="Times New Roman"/>
          <w:sz w:val="24"/>
          <w:szCs w:val="24"/>
        </w:rPr>
        <w:t xml:space="preserve">》（苏财</w:t>
      </w:r>
      <w:r>
        <w:rPr>
          <w:rFonts w:hint="eastAsia" w:ascii="宋体" w:hAnsi="宋体" w:eastAsia="宋体" w:cs="Times New Roman"/>
          <w:sz w:val="24"/>
          <w:szCs w:val="24"/>
          <w:lang w:eastAsia="zh-CN"/>
        </w:rPr>
        <w:t xml:space="preserve">规</w:t>
      </w:r>
      <w:r>
        <w:rPr>
          <w:rFonts w:hint="eastAsia" w:ascii="宋体" w:hAnsi="宋体" w:eastAsia="宋体" w:cs="Times New Roman"/>
          <w:sz w:val="24"/>
          <w:szCs w:val="24"/>
        </w:rPr>
        <w:t xml:space="preserve">〔202</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 号）的要求，及时报送承保理赔材料凭证。</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每年 2 月 1 日前，必须按财政部门的结算要求，向</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提交上年财政年度结算申请报告及附件（上年度农业保险实施方案、工作总结、农业保险保费结算统计表、投保台账、理赔台账、财政专项资金项目申报信用承诺书等），同时提交电子文档。</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按照《江苏省政策性农业保险承保机构服务评价暂行办法》及时提供材料凭证接受评价。</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按时完成</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安排的农业保险相关工作。</w:t>
      </w:r>
      <w:r/>
    </w:p>
    <w:p>
      <w:pPr>
        <w:ind w:firstLine="480"/>
        <w:jc w:val="left"/>
        <w:spacing w:line="560" w:lineRule="exact"/>
        <w:tabs>
          <w:tab w:val="left" w:pos="90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积极开展防灾减损</w:t>
      </w:r>
      <w:r>
        <w:rPr>
          <w:rFonts w:hint="eastAsia" w:ascii="宋体" w:hAnsi="宋体" w:eastAsia="宋体" w:cs="Times New Roman"/>
          <w:sz w:val="24"/>
          <w:szCs w:val="24"/>
          <w:lang w:eastAsia="zh-CN"/>
        </w:rPr>
        <w:t xml:space="preserve">等</w:t>
      </w:r>
      <w:r>
        <w:rPr>
          <w:rFonts w:hint="eastAsia" w:ascii="宋体" w:hAnsi="宋体" w:eastAsia="宋体" w:cs="Times New Roman"/>
          <w:sz w:val="24"/>
          <w:szCs w:val="24"/>
        </w:rPr>
        <w:t xml:space="preserve">特色服务活动，不断提高</w:t>
      </w:r>
      <w:r>
        <w:rPr>
          <w:rFonts w:hint="eastAsia" w:ascii="宋体" w:hAnsi="宋体" w:eastAsia="宋体" w:cs="Times New Roman"/>
          <w:sz w:val="24"/>
          <w:szCs w:val="24"/>
          <w:lang w:eastAsia="zh-CN"/>
        </w:rPr>
        <w:t xml:space="preserve">承保区域农业生产的</w:t>
      </w:r>
      <w:r>
        <w:rPr>
          <w:rFonts w:hint="eastAsia" w:ascii="宋体" w:hAnsi="宋体" w:eastAsia="宋体" w:cs="Times New Roman"/>
          <w:sz w:val="24"/>
          <w:szCs w:val="24"/>
        </w:rPr>
        <w:t xml:space="preserve">抗风险能力</w:t>
      </w:r>
      <w:r>
        <w:rPr>
          <w:rFonts w:hint="eastAsia" w:ascii="宋体" w:hAnsi="宋体" w:eastAsia="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服务规范</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主动高效服务农户保险需要，按照《农业保险承保理赔管理办法》和省、市、县有关规定，规范开展承保理赔工作，并留存承保、理赔档案。</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验标承保。</w:t>
      </w:r>
      <w:r>
        <w:rPr>
          <w:rFonts w:hint="eastAsia" w:ascii="宋体" w:hAnsi="宋体" w:eastAsia="宋体" w:cs="Times New Roman"/>
          <w:sz w:val="24"/>
          <w:szCs w:val="24"/>
          <w:lang w:val="en-US" w:eastAsia="zh-CN"/>
        </w:rPr>
        <w:t xml:space="preserve">a.</w:t>
      </w:r>
      <w:r>
        <w:rPr>
          <w:rFonts w:hint="eastAsia" w:ascii="宋体" w:hAnsi="宋体" w:eastAsia="宋体" w:cs="Times New Roman"/>
          <w:sz w:val="24"/>
          <w:szCs w:val="24"/>
        </w:rPr>
        <w:t xml:space="preserve">对单独出单的种养大户、家庭农场、龙头企业或农业生产经营组织，实行全部实地验标；</w:t>
      </w:r>
      <w:r>
        <w:rPr>
          <w:rFonts w:hint="eastAsia" w:ascii="宋体" w:hAnsi="宋体" w:eastAsia="宋体" w:cs="Times New Roman"/>
          <w:sz w:val="24"/>
          <w:szCs w:val="24"/>
          <w:lang w:val="en-US" w:eastAsia="zh-CN"/>
        </w:rPr>
        <w:t xml:space="preserve">b.</w:t>
      </w:r>
      <w:r>
        <w:rPr>
          <w:rFonts w:hint="eastAsia" w:ascii="宋体" w:hAnsi="宋体" w:eastAsia="宋体" w:cs="Times New Roman"/>
          <w:sz w:val="24"/>
          <w:szCs w:val="24"/>
        </w:rPr>
        <w:t xml:space="preserve">对集体投保的种植业保险标的实行抽检，抽检比例不低于5%，分户清单中投保的土地面积大于100亩的按照单独投保要求做好验标工作。</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及时承保。在规定的时间节点完成农业保险各险种的承保工作：</w:t>
      </w:r>
      <w:r>
        <w:rPr>
          <w:rFonts w:hint="eastAsia" w:ascii="宋体" w:hAnsi="宋体" w:eastAsia="宋体" w:cs="Times New Roman"/>
          <w:sz w:val="24"/>
          <w:szCs w:val="24"/>
          <w:lang w:val="en-US" w:eastAsia="zh-CN"/>
        </w:rPr>
        <w:t xml:space="preserve">a.</w:t>
      </w:r>
      <w:r>
        <w:rPr>
          <w:rFonts w:hint="eastAsia" w:ascii="宋体" w:hAnsi="宋体" w:eastAsia="宋体" w:cs="Times New Roman"/>
          <w:sz w:val="24"/>
          <w:szCs w:val="24"/>
        </w:rPr>
        <w:t xml:space="preserve">小麦、油菜在2月底前完成投保与承保工作；</w:t>
      </w:r>
      <w:r>
        <w:rPr>
          <w:rFonts w:hint="eastAsia" w:ascii="宋体" w:hAnsi="宋体" w:eastAsia="宋体" w:cs="Times New Roman"/>
          <w:sz w:val="24"/>
          <w:szCs w:val="24"/>
          <w:lang w:val="en-US" w:eastAsia="zh-CN"/>
        </w:rPr>
        <w:t xml:space="preserve">b.</w:t>
      </w:r>
      <w:r>
        <w:rPr>
          <w:rFonts w:hint="eastAsia" w:ascii="宋体" w:hAnsi="宋体" w:eastAsia="宋体" w:cs="Times New Roman"/>
          <w:sz w:val="24"/>
          <w:szCs w:val="24"/>
        </w:rPr>
        <w:t xml:space="preserve">春玉米必须在每年5月底前完成承保工作；</w:t>
      </w:r>
      <w:r>
        <w:rPr>
          <w:rFonts w:hint="eastAsia" w:ascii="宋体" w:hAnsi="宋体" w:eastAsia="宋体" w:cs="Times New Roman"/>
          <w:sz w:val="24"/>
          <w:szCs w:val="24"/>
          <w:lang w:val="en-US" w:eastAsia="zh-CN"/>
        </w:rPr>
        <w:t xml:space="preserve">c.</w:t>
      </w:r>
      <w:r>
        <w:rPr>
          <w:rFonts w:hint="eastAsia" w:ascii="宋体" w:hAnsi="宋体" w:eastAsia="宋体" w:cs="Times New Roman"/>
          <w:sz w:val="24"/>
          <w:szCs w:val="24"/>
        </w:rPr>
        <w:t xml:space="preserve">水稻、玉米在8月底前完成投保与承保工作；</w:t>
      </w:r>
      <w:r>
        <w:rPr>
          <w:rFonts w:hint="eastAsia" w:ascii="宋体" w:hAnsi="宋体" w:eastAsia="宋体" w:cs="Times New Roman"/>
          <w:sz w:val="24"/>
          <w:szCs w:val="24"/>
          <w:lang w:val="en-US" w:eastAsia="zh-CN"/>
        </w:rPr>
        <w:t xml:space="preserve">d.</w:t>
      </w:r>
      <w:r>
        <w:rPr>
          <w:rFonts w:hint="eastAsia" w:ascii="宋体" w:hAnsi="宋体" w:eastAsia="宋体" w:cs="Times New Roman"/>
          <w:sz w:val="24"/>
          <w:szCs w:val="24"/>
        </w:rPr>
        <w:t xml:space="preserve">能繁母猪、育肥猪、蔬菜大棚等所有高效农业类险种，根据各类主体需求及时承保。</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在收取投保人自缴保费后，保险合同成立，应向投保人出具相应的保险凭证和保费收据，按照保险合同约定承担赔偿责任。</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报案受理。设立24小时保险服务专线电话，随时接受被保险人的出险报案。</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查勘时效。接到报案后需要进行现场查勘的，24小时内到达现场，组织现场查勘工作。</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查勘人员。查勘人员。现场查勘人员须正式员工2人以上共同查勘。</w:t>
      </w:r>
      <w:r>
        <w:rPr>
          <w:rFonts w:hint="eastAsia" w:ascii="宋体" w:hAnsi="宋体" w:eastAsia="宋体" w:cs="Times New Roman"/>
          <w:sz w:val="24"/>
          <w:szCs w:val="24"/>
          <w:lang w:eastAsia="zh-CN"/>
        </w:rPr>
        <w:t xml:space="preserve">同时，</w:t>
      </w:r>
      <w:r>
        <w:rPr>
          <w:rFonts w:hint="eastAsia" w:ascii="宋体" w:hAnsi="宋体" w:eastAsia="宋体" w:cs="Times New Roman"/>
          <w:sz w:val="24"/>
          <w:szCs w:val="24"/>
          <w:lang w:val="en-US" w:eastAsia="zh-CN"/>
        </w:rPr>
        <w:t xml:space="preserve">在自然灾害、重大疫情等突发情况下，有足够数量的查勘人员可以参与应急相应、现场查勘和其他相关工作。</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损失鉴定报告。有农业专家参与查勘的，损失鉴定报告应有专家的签字。</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及时定责定损。对于技术性较强或有争议、疑难的案件时，应当聘请公估机构、有关专家或技术人员参与赔案的处理。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及时理赔。及时处理保险事故、及时理赔付款。小麦、油菜、水稻、玉米应在收获后45日内完成理赔，养殖业应在事故报案后30日内完成理赔；在保险赔案达成协议后10日内支付理赔款，年度结案率95%以上。</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业务真实完整。承保理赔应真实，留存材料符合财政、农业农村、保险监管等部门的规定。</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灾害证明。主动联系气象及相关部门开具灾害证明，证明中出险时间、地点、原因，事故技术性数据与现场查勘报告记载实际情况相符，技术性数据符合条款释义中规定。</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示要求。按规定在村集体、农业企业公示栏等显著位置或通过互联网、短信、微信等方式，将集体出单的农业保险承保理赔情况进行公示，公示时间不得少于3天。公示期间，若接到对公示内容的反馈意见，应及时处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回访要求。出单后两个月内，要对农户承保、理赔等环节工作质量进行回访，采取随机抽样方式选择回访对象，各乡镇投保、理赔户次的回访比例不低于3%。</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服务绩效目标</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三大粮食作物承保率、育肥猪保险不低于省、市、县下达的年度指标。</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政策性农业保险保费规模、保障总额不低于上年。保障总额是全部保险合同保险金额之和。</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农业保险费用率不高于省有关要求。</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已决赔款、已决案件数计算的理赔结案率不低于省、市、县下达的年度指标。</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按照“连政办发〔2018〕180号”规定，农业保险管理费按当年保费总收入的2%提取。</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不得因拒绝承保、拖赔、惜赔等损害农民权益行为被农户投诉、举报、上访，理赔纠纷能够得到及时处理，妥善化解矛盾与争议。</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、中标供应商</w:t>
      </w:r>
      <w:r>
        <w:rPr>
          <w:rFonts w:hint="eastAsia" w:ascii="宋体" w:hAnsi="宋体" w:eastAsia="宋体" w:cs="Times New Roman"/>
          <w:sz w:val="24"/>
          <w:szCs w:val="24"/>
        </w:rPr>
        <w:t xml:space="preserve">无正当理由不得放弃入围且不得转包。对入围后放弃入围或转包的机构，取消政策性农业保险承保机构遴选资格。</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（四）服务</w:t>
      </w:r>
      <w:r>
        <w:rPr>
          <w:rFonts w:hint="eastAsia" w:ascii="宋体" w:hAnsi="宋体" w:eastAsia="宋体" w:cs="Times New Roman"/>
          <w:sz w:val="24"/>
          <w:szCs w:val="24"/>
          <w:lang w:eastAsia="zh-CN"/>
        </w:rPr>
        <w:t xml:space="preserve">方案</w:t>
      </w:r>
      <w:r>
        <w:rPr>
          <w:rFonts w:hint="eastAsia" w:ascii="宋体" w:hAnsi="宋体" w:eastAsia="宋体" w:cs="Times New Roman"/>
          <w:sz w:val="24"/>
          <w:szCs w:val="24"/>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供应商有内容完整、合理可行的服务方案，包括但不限于</w:t>
      </w:r>
      <w:r>
        <w:rPr>
          <w:rFonts w:hint="eastAsia" w:ascii="宋体" w:hAnsi="宋体" w:eastAsia="宋体" w:cs="Times New Roman"/>
          <w:sz w:val="24"/>
          <w:szCs w:val="24"/>
        </w:rPr>
        <w:t xml:space="preserve">宣传推动工作方案</w:t>
      </w:r>
      <w:r>
        <w:rPr>
          <w:rFonts w:hint="eastAsia" w:ascii="宋体" w:hAnsi="宋体" w:eastAsia="宋体" w:cs="Times New Roman"/>
          <w:sz w:val="24"/>
          <w:szCs w:val="24"/>
          <w:lang w:eastAsia="zh-CN"/>
        </w:rPr>
        <w:t xml:space="preserve">、承保工作方案、理赔工作方案、服务创新方案等。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宣传推动工作方案</w:t>
      </w:r>
      <w:r>
        <w:rPr>
          <w:rFonts w:hint="eastAsia" w:ascii="宋体" w:hAnsi="宋体" w:eastAsia="宋体" w:cs="Times New Roman"/>
          <w:sz w:val="24"/>
          <w:szCs w:val="24"/>
          <w:lang w:eastAsia="zh-CN"/>
        </w:rPr>
        <w:t xml:space="preserve">应围绕农业保险高质量发展目标和保险费补贴整体绩效目标制定，内容包括不限于宣传措施、经费保障及考核奖励措施等。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承保工作方案应围绕农业保险高质量发展目标和保险费补贴整体绩效目标制定，内容包括不限于工作目标、服务流程、针对种植业、养殖业、高效设施农业承保推进的措施等。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理赔工作方案应围绕精准理赔工作制定，内容包括但不限于查勘理赔工作流程、服务目标、服务举措等。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服务创新方案应围绕农民利益，提高农民获得感，拟定服务创新工作方案，包括但不限于防灾减损以及在农险业务、服务等创新方向措施。</w:t>
      </w:r>
      <w:r/>
    </w:p>
    <w:p>
      <w:pPr>
        <w:jc w:val="left"/>
        <w:spacing w:line="560" w:lineRule="exact"/>
        <w:tabs>
          <w:tab w:val="left" w:pos="90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三、付款方式</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依据《江苏省财政厅关于进一步加强和改进农业保险保费补贴资金管理的通知》（苏财金〔2021〕98 号），供应商及时提供申请保费补贴报告以及必要的凭证材料，</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在审核检查无误的基础上拨付保险费补贴资金。</w:t>
      </w:r>
      <w:r/>
    </w:p>
    <w:p>
      <w:pPr>
        <w:jc w:val="left"/>
        <w:spacing w:line="560" w:lineRule="exact"/>
        <w:tabs>
          <w:tab w:val="left" w:pos="90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四、保险合同</w:t>
      </w:r>
      <w:r/>
    </w:p>
    <w:p>
      <w:pPr>
        <w:ind w:firstLine="480"/>
        <w:jc w:val="left"/>
        <w:spacing w:line="560" w:lineRule="exact"/>
        <w:tabs>
          <w:tab w:val="left" w:pos="900" w:leader="none"/>
        </w:tabs>
        <w:rPr>
          <w:rFonts w:hint="eastAsia" w:ascii="宋体" w:hAnsi="宋体" w:eastAsia="宋体" w:cs="Times New Roman"/>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sz w:val="24"/>
          <w:szCs w:val="24"/>
        </w:rPr>
        <w:t xml:space="preserve">保险合同（保险单）应当按照《中华人民共和国保险法》的规定，还应当明确载明农业保险标的位置和农户、农业生产经营组织、地方财政、中央财政等各方承担的保费比例及金额。</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jc w:val="left"/>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790"/>
        <w:jc w:val="center"/>
        <w:spacing w:before="156" w:after="156" w:line="360" w:lineRule="auto"/>
        <w:rPr>
          <w:rFonts w:hint="eastAsia" w:ascii="宋体" w:hAnsi="宋体" w:eastAsia="宋体" w:cs="宋体"/>
          <w:b w:val="0"/>
        </w:rPr>
      </w:pPr>
      <w:r/>
      <w:bookmarkStart w:id="71" w:name="_Toc155796360"/>
      <w:r/>
      <w:bookmarkStart w:id="72" w:name="_Toc3341"/>
      <w:r/>
      <w:bookmarkStart w:id="73" w:name="_Toc1282"/>
      <w:r>
        <w:rPr>
          <w:rFonts w:hint="eastAsia" w:ascii="宋体" w:hAnsi="宋体" w:eastAsia="宋体" w:cs="宋体"/>
          <w:b w:val="0"/>
        </w:rPr>
        <w:t xml:space="preserve">第五章评标方法与评标标准</w:t>
      </w:r>
      <w:bookmarkEnd w:id="71"/>
      <w:r/>
      <w:bookmarkEnd w:id="72"/>
      <w:r/>
      <w:bookmarkEnd w:id="73"/>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74" w:name="_Toc155796361"/>
      <w:r>
        <w:rPr>
          <w:rFonts w:hint="eastAsia" w:ascii="宋体" w:hAnsi="宋体" w:eastAsia="宋体" w:cs="宋体"/>
          <w:sz w:val="24"/>
          <w:szCs w:val="24"/>
        </w:rPr>
        <w:t xml:space="preserve">一、评标方法</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综合评分法：评标结果按评审后得分由高到低顺序排列，得分相同的按现场抽签结果的顺序确定中标候选人。</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二、评标标准</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（2）本项目评分总分为100分，按四舍五入取至小数点后两位。</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（3）总得分=技术分+商务分。</w:t>
      </w:r>
      <w:r/>
    </w:p>
    <w:p>
      <w:pPr>
        <w:ind w:left="0" w:right="0" w:firstLine="643"/>
        <w:jc w:val="center"/>
        <w:pageBreakBefore w:val="0"/>
        <w:spacing w:before="120" w:after="120" w:line="400" w:lineRule="atLeas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综合评分法</w:t>
      </w:r>
      <w:r/>
    </w:p>
    <w:tbl>
      <w:tblPr>
        <w:tblStyle w:val="80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492"/>
        <w:gridCol w:w="6013"/>
        <w:gridCol w:w="763"/>
      </w:tblGrid>
      <w:tr>
        <w:trPr>
          <w:cantSplit/>
          <w:trHeight w:val="300"/>
          <w:tblHeader/>
        </w:trPr>
        <w:tc>
          <w:tcPr>
            <w:tcW w:w="49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评分项目</w:t>
            </w:r>
            <w:r/>
          </w:p>
        </w:tc>
        <w:tc>
          <w:tcPr>
            <w:tcW w:w="81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评分点名称</w:t>
            </w:r>
            <w:r/>
          </w:p>
        </w:tc>
        <w:tc>
          <w:tcPr>
            <w:tcW w:w="327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评审标准</w:t>
            </w:r>
            <w:r/>
          </w:p>
        </w:tc>
        <w:tc>
          <w:tcPr>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分值</w:t>
            </w:r>
            <w:r/>
          </w:p>
        </w:tc>
      </w:tr>
      <w:tr>
        <w:trPr>
          <w:cantSplit/>
          <w:trHeight w:val="312"/>
        </w:trPr>
        <w:tc>
          <w:tcPr>
            <w:tcW w:w="49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合规经营（14分）</w:t>
            </w:r>
            <w:r/>
          </w:p>
        </w:tc>
        <w:tc>
          <w:tcPr>
            <w:tcW w:w="81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公司风险综合评级</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投标人总公司202</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年</w:t>
            </w:r>
            <w:r>
              <w:rPr>
                <w:rFonts w:hint="eastAsia" w:ascii="宋体" w:hAnsi="宋体" w:eastAsia="宋体" w:cs="宋体"/>
                <w:i w:val="0"/>
                <w:iCs w:val="0"/>
                <w:color w:val="000000"/>
                <w:sz w:val="21"/>
                <w:szCs w:val="21"/>
                <w:u w:val="none"/>
                <w:lang w:val="en-US" w:eastAsia="zh-CN"/>
              </w:rPr>
              <w:t xml:space="preserve">第三季度风险综合评级（分类监管），</w:t>
            </w:r>
            <w:r>
              <w:rPr>
                <w:rFonts w:hint="eastAsia" w:ascii="宋体" w:hAnsi="宋体" w:eastAsia="宋体" w:cs="宋体"/>
                <w:i w:val="0"/>
                <w:iCs w:val="0"/>
                <w:color w:val="000000"/>
                <w:sz w:val="21"/>
                <w:szCs w:val="21"/>
                <w:u w:val="none"/>
              </w:rPr>
              <w:t xml:space="preserve">A</w:t>
            </w:r>
            <w:r>
              <w:rPr>
                <w:rFonts w:hint="eastAsia" w:ascii="宋体" w:hAnsi="宋体" w:eastAsia="宋体" w:cs="宋体"/>
                <w:i w:val="0"/>
                <w:iCs w:val="0"/>
                <w:color w:val="000000"/>
                <w:sz w:val="21"/>
                <w:szCs w:val="21"/>
                <w:u w:val="none"/>
                <w:lang w:val="en-US" w:eastAsia="zh-CN"/>
              </w:rPr>
              <w:t xml:space="preserve">级类</w:t>
            </w:r>
            <w:r>
              <w:rPr>
                <w:rFonts w:hint="eastAsia" w:ascii="宋体" w:hAnsi="宋体" w:eastAsia="宋体" w:cs="宋体"/>
                <w:i w:val="0"/>
                <w:iCs w:val="0"/>
                <w:color w:val="000000"/>
                <w:sz w:val="21"/>
                <w:szCs w:val="21"/>
                <w:u w:val="none"/>
              </w:rPr>
              <w:t xml:space="preserve">，得</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分，B</w:t>
            </w:r>
            <w:r>
              <w:rPr>
                <w:rFonts w:hint="eastAsia" w:ascii="宋体" w:hAnsi="宋体" w:eastAsia="宋体" w:cs="宋体"/>
                <w:i w:val="0"/>
                <w:iCs w:val="0"/>
                <w:color w:val="000000"/>
                <w:sz w:val="21"/>
                <w:szCs w:val="21"/>
                <w:u w:val="none"/>
                <w:lang w:val="en-US" w:eastAsia="zh-CN"/>
              </w:rPr>
              <w:t xml:space="preserve">级类</w:t>
            </w:r>
            <w:r>
              <w:rPr>
                <w:rFonts w:hint="eastAsia" w:ascii="宋体" w:hAnsi="宋体" w:eastAsia="宋体" w:cs="宋体"/>
                <w:i w:val="0"/>
                <w:iCs w:val="0"/>
                <w:color w:val="000000"/>
                <w:sz w:val="21"/>
                <w:szCs w:val="21"/>
                <w:u w:val="none"/>
              </w:rPr>
              <w:t xml:space="preserve">，得</w:t>
            </w: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分，其他情况不得分。</w:t>
            </w:r>
            <w:r/>
          </w:p>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rPr>
              <w:t xml:space="preserve">（</w:t>
            </w:r>
            <w:r>
              <w:rPr>
                <w:rFonts w:hint="eastAsia" w:ascii="宋体" w:hAnsi="宋体" w:eastAsia="宋体" w:cs="宋体"/>
                <w:i w:val="0"/>
                <w:iCs w:val="0"/>
                <w:color w:val="000000"/>
                <w:sz w:val="21"/>
                <w:szCs w:val="21"/>
                <w:u w:val="none"/>
                <w:lang w:val="en-US" w:eastAsia="zh-CN"/>
              </w:rPr>
              <w:t xml:space="preserve">提供2025年第三季度C-ROSS国家金融监督管理总局偿付能力监管信息系统截图，包含网站页面截图</w:t>
            </w:r>
            <w:r>
              <w:rPr>
                <w:rFonts w:hint="eastAsia" w:ascii="宋体" w:hAnsi="宋体" w:eastAsia="宋体" w:cs="宋体"/>
                <w:i w:val="0"/>
                <w:iCs w:val="0"/>
                <w:color w:val="000000"/>
                <w:sz w:val="21"/>
                <w:szCs w:val="21"/>
                <w:u w:val="none"/>
              </w:rPr>
              <w:t xml:space="preserve">）</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312"/>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合规服务业绩</w:t>
            </w:r>
            <w:r/>
          </w:p>
        </w:tc>
        <w:tc>
          <w:tcPr>
            <w:tcW w:w="3272" w:type="pct"/>
            <w:vAlign w:val="center"/>
            <w:textDirection w:val="lrTb"/>
            <w:noWrap w:val="false"/>
          </w:tcPr>
          <w:p>
            <w:pPr>
              <w:jc w:val="both"/>
              <w:keepLines w:val="0"/>
              <w:keepNext w:val="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2023年-2025年投标人有政策性农业保险服务经验的，</w:t>
            </w:r>
            <w:r>
              <w:rPr>
                <w:rFonts w:hint="eastAsia" w:ascii="宋体" w:hAnsi="宋体" w:eastAsia="宋体" w:cs="宋体"/>
                <w:color w:val="auto"/>
                <w:szCs w:val="21"/>
                <w:highlight w:val="none"/>
                <w:lang w:val="en-US" w:eastAsia="zh-CN" w:bidi="ar"/>
              </w:rPr>
              <w:t xml:space="preserve">每提供一个</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分，最多得 </w:t>
            </w:r>
            <w:r>
              <w:rPr>
                <w:rFonts w:hint="eastAsia" w:ascii="宋体" w:hAnsi="宋体" w:eastAsia="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 分；不提供不得分。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szCs w:val="21"/>
                <w:highlight w:val="none"/>
                <w:lang w:bidi="ar"/>
              </w:rPr>
              <w:t xml:space="preserve">（提供2023年1月1日及以后投标人或投标人下辖分支机构与政府或政策性农业保险主管单位签订的政策性农业保险服务协议（合同）</w:t>
            </w:r>
            <w:r>
              <w:rPr>
                <w:rFonts w:hint="eastAsia" w:ascii="宋体" w:hAnsi="宋体" w:eastAsia="宋体" w:cs="宋体"/>
                <w:color w:val="auto"/>
                <w:szCs w:val="21"/>
                <w:highlight w:val="none"/>
                <w:lang w:val="en-US" w:eastAsia="zh-CN" w:bidi="ar"/>
              </w:rPr>
              <w:t xml:space="preserve">及</w:t>
            </w:r>
            <w:r>
              <w:rPr>
                <w:rFonts w:hint="eastAsia" w:ascii="宋体" w:hAnsi="宋体" w:eastAsia="宋体" w:cs="宋体"/>
                <w:color w:val="auto"/>
                <w:szCs w:val="21"/>
                <w:highlight w:val="none"/>
                <w:lang w:bidi="ar"/>
              </w:rPr>
              <w:t xml:space="preserve">对应的农业保险保单，内容能够证明政策性农业保险服务经验和服务区县（含功能区板块）。原件扫描加盖公章）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r>
      <w:tr>
        <w:trPr>
          <w:cantSplit/>
          <w:trHeight w:val="1166"/>
        </w:trPr>
        <w:tc>
          <w:tcPr>
            <w:tcW w:w="499" w:type="pct"/>
            <w:vAlign w:val="center"/>
            <w:vMerge w:val="restart"/>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风险管控（16分）</w:t>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农业保险责任部门</w:t>
            </w:r>
            <w:r/>
          </w:p>
        </w:tc>
        <w:tc>
          <w:tcPr>
            <w:tcW w:w="327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投标人设置农业保险部门，设置的得 5 分；未设置不得分。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（提供招标公告发布之日前投标人设立农业保险责任部门的文件。原件扫描或复印件加盖公章上传）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803"/>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农险业务信息管理水平</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相对独立、功能完善的农业保险信息管理系统，具备数据管理和统计分析功能，能够直接导出承保数据得1.5分、理赔数据得1.5分、批改数据得1.5分、汇总数据得1.5分，最高得6分。提供证明材料得满分；不提供不得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（提供农业保险信息系统有关功能截图、模块清单截图，上传）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6</w:t>
            </w:r>
            <w:r/>
          </w:p>
        </w:tc>
      </w:tr>
      <w:tr>
        <w:trPr>
          <w:cantSplit/>
          <w:trHeight w:val="1098"/>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农险管理制度</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投标人或所属省（市）级分公司或所属总公司具有农业保险内控制度,内容包括风险识别、承保理赔、合规管理、费用管理、数据安全等，每提供一项得1分，满分5分。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提供农业保险内控制度扫描件或截图并加盖公章，不提供不得分。</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363"/>
        </w:trPr>
        <w:tc>
          <w:tcPr>
            <w:tcW w:w="499" w:type="pct"/>
            <w:vAlign w:val="center"/>
            <w:vMerge w:val="restart"/>
            <w:textDirection w:val="lrTb"/>
            <w:noWrap w:val="false"/>
          </w:tcPr>
          <w:p>
            <w:pPr>
              <w:jc w:val="center"/>
              <w:rPr>
                <w:rFonts w:hint="default"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sz w:val="21"/>
                <w:szCs w:val="21"/>
                <w:u w:val="none"/>
                <w:lang w:val="en-US" w:eastAsia="zh-CN" w:bidi="ar"/>
              </w:rPr>
              <w:t xml:space="preserve">服务能力(50分)</w:t>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上年度公司偿付能力充足率</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投标人总公司 2024年度末（4 季度）的核心偿付能力充足率，250%以上得 6 分，250%（含）～200%得 4 分，200%（含）～180%得 2 分；180%以下得 0 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（提供中国保险行业协会官方网站公布的 2024年 4 季度偿付能力 报告（摘要）截图和网站链接）</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green"/>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w:t>
            </w:r>
            <w:r/>
          </w:p>
        </w:tc>
      </w:tr>
      <w:tr>
        <w:trPr>
          <w:cantSplit/>
          <w:trHeight w:val="186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理赔及时性</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投标人2024 年 1 月 1 日-12 月 31 日在政策性农业保险理赔结案率（结案数/立案数）95%及以上得10分；95%-85%（含）（8 分）；85%-75%（含）（6 分）；75%-60%（含）（4 分）； 60%以下，得 0 分。没有政策性农业保险理赔案件，提供商业性农业保险理赔结案率，最多得 1 分。不提供得 0 分。（提供业务信息系统统计分析截图，上传）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10</w:t>
            </w:r>
            <w:r/>
          </w:p>
        </w:tc>
      </w:tr>
      <w:tr>
        <w:trPr>
          <w:cantSplit/>
          <w:trHeight w:val="1420"/>
        </w:trPr>
        <w:tc>
          <w:tcPr>
            <w:tcW w:w="499"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基层服务网点承诺</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承诺中标后三个月内在不影响承保、理赔等日常工作的前提下设立农险服务网点（服务网点包括保险监管机构批准的分支机构、当地农险工作小组认可的专门服务站点）的，得5分；不承诺或不满足招标文件要求的不得分。</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提供加盖投标人公章的承诺函，格式自拟。</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795"/>
        </w:trPr>
        <w:tc>
          <w:tcPr>
            <w:tcW w:w="499"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政策性农险专职服务人员</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投标人或投标人下辖分支机构为徐圩新区配置专职政策性农险服务人员的，每个人员得 3 分，最多得 9 分；没有配置的或配置不全的，提供中标后在 2 个月内配置政策性农险服务人员承诺书的，得 3 分。不提供不得分。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（配置专职政策性农险服务人员的提供证明材料，包括：</w:t>
            </w:r>
            <w:r>
              <w:rPr>
                <w:rFonts w:hint="eastAsia" w:ascii="宋体" w:hAnsi="宋体" w:eastAsia="宋体" w:cs="宋体"/>
                <w:i w:val="0"/>
                <w:iCs w:val="0"/>
                <w:color w:val="auto"/>
                <w:sz w:val="21"/>
                <w:szCs w:val="21"/>
                <w:highlight w:val="none"/>
                <w:u w:val="none"/>
                <w:lang w:val="en-US" w:eastAsia="zh-CN" w:bidi="ar"/>
              </w:rPr>
              <w:t xml:space="preserve">专职服务人员名单及2025年8-10月任意一个月缴纳社会保险的证明材料</w:t>
            </w:r>
            <w:r>
              <w:rPr>
                <w:rFonts w:hint="eastAsia" w:ascii="宋体" w:hAnsi="宋体" w:eastAsia="宋体" w:cs="宋体"/>
                <w:i w:val="0"/>
                <w:iCs w:val="0"/>
                <w:color w:val="000000"/>
                <w:sz w:val="21"/>
                <w:szCs w:val="21"/>
                <w:u w:val="none"/>
                <w:lang w:val="en-US" w:eastAsia="zh-CN" w:bidi="ar"/>
              </w:rPr>
              <w:t xml:space="preserve">。其他情况提供承诺书。原件扫描上传）</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9</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服务车辆配备</w:t>
            </w:r>
            <w:r/>
          </w:p>
        </w:tc>
        <w:tc>
          <w:tcPr>
            <w:tcW w:w="3272" w:type="pct"/>
            <w:vAlign w:val="center"/>
            <w:textDirection w:val="lrTb"/>
            <w:noWrap w:val="false"/>
          </w:tcPr>
          <w:p>
            <w:pPr>
              <w:jc w:val="both"/>
              <w:rPr>
                <w:rFonts w:hint="eastAsia" w:ascii="宋体" w:hAnsi="宋体" w:eastAsia="宋体" w:cs="宋体"/>
                <w:i w:val="0"/>
                <w:iCs w:val="0"/>
                <w:color w:val="000000"/>
                <w:sz w:val="21"/>
                <w:szCs w:val="21"/>
                <w:highlight w:val="green"/>
                <w:u w:val="none"/>
              </w:rPr>
            </w:pPr>
            <w:r>
              <w:rPr>
                <w:rFonts w:hint="eastAsia" w:ascii="宋体" w:hAnsi="宋体" w:eastAsia="宋体" w:cs="宋体"/>
                <w:i w:val="0"/>
                <w:iCs w:val="0"/>
                <w:color w:val="000000"/>
                <w:sz w:val="21"/>
                <w:szCs w:val="21"/>
                <w:highlight w:val="none"/>
                <w:u w:val="none"/>
                <w:lang w:val="en-US" w:eastAsia="zh-CN" w:bidi="ar"/>
              </w:rPr>
              <w:t xml:space="preserve">投标人承诺中标后在在中标区域内配置不低于 2 台（含）农业保险服务用车。承诺书格式自拟。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提供承诺书的得5分，不提供，不得分。</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highlight w:val="green"/>
                <w:u w:val="none"/>
              </w:rPr>
            </w:pPr>
            <w:r>
              <w:rPr>
                <w:rFonts w:hint="eastAsia" w:ascii="宋体" w:hAnsi="宋体" w:eastAsia="宋体" w:cs="宋体"/>
                <w:b/>
                <w:bCs/>
                <w:i w:val="0"/>
                <w:iCs w:val="0"/>
                <w:color w:val="000000"/>
                <w:sz w:val="21"/>
                <w:szCs w:val="21"/>
                <w:highlight w:val="none"/>
                <w:u w:val="none"/>
                <w:lang w:val="en-US" w:eastAsia="zh-CN"/>
              </w:rPr>
              <w:t xml:space="preserve">5</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农险专业人员</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投标人配备5名农险专业人员为基准数，</w:t>
            </w:r>
            <w:r>
              <w:rPr>
                <w:rFonts w:hint="eastAsia" w:ascii="宋体" w:hAnsi="宋体" w:eastAsia="宋体" w:cs="宋体"/>
                <w:i w:val="0"/>
                <w:iCs w:val="0"/>
                <w:color w:val="auto"/>
                <w:sz w:val="21"/>
                <w:szCs w:val="21"/>
                <w:highlight w:val="none"/>
                <w:u w:val="none"/>
                <w:lang w:val="en-US" w:eastAsia="zh-CN" w:bidi="ar"/>
              </w:rPr>
              <w:t xml:space="preserve">合计5人以下得 2 分，合计5人（含）得 4 分，之后每增加 1人加 1分，最高得6分；没有配备农险专业人员不得分。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（提供投标公告发布之日前市级分支机构人力资源系统中配备相关专业人员并显示农险相关岗位的截图证明及2025年8-10</w:t>
            </w:r>
            <w:r>
              <w:rPr>
                <w:rFonts w:hint="eastAsia" w:ascii="宋体" w:hAnsi="宋体" w:eastAsia="宋体" w:cs="宋体"/>
                <w:i w:val="0"/>
                <w:iCs w:val="0"/>
                <w:color w:val="auto"/>
                <w:sz w:val="21"/>
                <w:szCs w:val="21"/>
                <w:highlight w:val="none"/>
                <w:u w:val="none"/>
                <w:lang w:val="en-US" w:eastAsia="zh-CN" w:bidi="ar"/>
              </w:rPr>
              <w:t xml:space="preserve">月任意一个月</w:t>
            </w:r>
            <w:r>
              <w:rPr>
                <w:rFonts w:hint="eastAsia" w:ascii="宋体" w:hAnsi="宋体" w:eastAsia="宋体" w:cs="宋体"/>
                <w:i w:val="0"/>
                <w:iCs w:val="0"/>
                <w:color w:val="000000"/>
                <w:sz w:val="21"/>
                <w:szCs w:val="21"/>
                <w:highlight w:val="none"/>
                <w:u w:val="none"/>
                <w:lang w:val="en-US" w:eastAsia="zh-CN" w:bidi="ar"/>
              </w:rPr>
              <w:t xml:space="preserve">缴纳社会保险的证明材料。原件扫描或复印件加盖公章上传）</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t xml:space="preserve">服务承诺</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投标人提供承诺书，内容包含：</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①三大粮食作物种植面积承保率达到省市区下达的指标；</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②农业保险保费规模、农业保险保障总额不低于上年；③农业保险费用率不高于省有关要求；</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④按当年已决赔款、已决案件数计算的理赔结案率达到省市区下达的指标；</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⑤按照财政、农业农村、保险监管等部门规定规范理赔活动；</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⑥按照区相关部门要求及时报送承保理赔数据、总结材料、按照《江苏省财政厅关于进一步加强和改进农业保险保费补贴资金管理的 通知》（苏财金〔2021〕98 号）、《江苏省省级财政农业保险保 费补贴管理办法》（苏财规〔2022〕6 号）要求及时报送承保理赔材料凭证；</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⑦按照《江苏省政策性农业保险承保机构服务评价暂行办法》及时提供材料凭证接受评价等。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提供承诺书得5分，不承诺不得分。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（承诺格式自拟，原件扫描上传）</w:t>
            </w:r>
            <w:r/>
          </w:p>
        </w:tc>
        <w:tc>
          <w:tcPr>
            <w:tcW w:w="415" w:type="pct"/>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产品创新能力</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根据投标人或投标人上级公司2022年1月1日以来得到国家或省级行业主管部门公布的农业保险创新产品，每提供一个创新</w:t>
            </w:r>
            <w:r>
              <w:rPr>
                <w:rFonts w:hint="eastAsia" w:ascii="宋体" w:hAnsi="宋体" w:eastAsia="宋体" w:cs="宋体"/>
                <w:i w:val="0"/>
                <w:iCs w:val="0"/>
                <w:color w:val="auto"/>
                <w:sz w:val="21"/>
                <w:szCs w:val="21"/>
                <w:u w:val="none"/>
                <w:lang w:val="en-US" w:eastAsia="zh-CN" w:bidi="ar"/>
              </w:rPr>
              <w:t xml:space="preserve">产品得1分，最高得4分</w:t>
            </w:r>
            <w:r>
              <w:rPr>
                <w:rFonts w:hint="eastAsia" w:ascii="宋体" w:hAnsi="宋体" w:eastAsia="宋体" w:cs="宋体"/>
                <w:i w:val="0"/>
                <w:iCs w:val="0"/>
                <w:color w:val="000000"/>
                <w:sz w:val="21"/>
                <w:szCs w:val="21"/>
                <w:u w:val="none"/>
                <w:lang w:val="en-US" w:eastAsia="zh-CN" w:bidi="ar"/>
              </w:rPr>
              <w:t xml:space="preserve">。</w:t>
            </w:r>
            <w:r/>
          </w:p>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注：提供2022年1月1日以来国家或省级农业保险工作小组公布的农业保险创新产品目录及对应文件。</w:t>
            </w:r>
            <w:r/>
          </w:p>
        </w:tc>
        <w:tc>
          <w:tcPr>
            <w:tcW w:w="415" w:type="pct"/>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bidi="ar"/>
              </w:rPr>
              <w:t xml:space="preserve">4</w:t>
            </w:r>
            <w:r/>
          </w:p>
        </w:tc>
      </w:tr>
      <w:tr>
        <w:trPr>
          <w:cantSplit/>
          <w:trHeight w:val="540"/>
        </w:trPr>
        <w:tc>
          <w:tcPr>
            <w:tcW w:w="499" w:type="pct"/>
            <w:vAlign w:val="center"/>
            <w:vMerge w:val="restart"/>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相关工作方案（20分）</w:t>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宣传推动工作方案</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投标人围绕农业保险高质量发展目标和保险费补贴整体绩效目标，拟定农业保险政策宣传推动工作方案，包括但不限于宣传措施、经费保障及考核奖励措施等。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政策宣传方向正确，方案合适，形式新颖，实用性强的得5 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政策宣传方向正确，方案较完善，比较实用的得 3 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政策宣传方向合理，方案一般，基本可行的得 1 分。</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560"/>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承保工作方案</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投标人围绕农业保险高质量发展目标和保险费补贴整体绩效目标，拟定承保方案，包括不限于工作目标、服务流程、承保推进的措施。 总体方案完善，实施措施详尽，保证措施科学合理可行的得5分； 总体方案比较完善，实施措施比较详尽，保证措施比较合理可行 的得3分； 总体方案基本完善，实施措施基本详尽，保证措施可行性一般的 得1 分。</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530"/>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理赔工作方案</w:t>
            </w:r>
            <w:r/>
          </w:p>
        </w:tc>
        <w:tc>
          <w:tcPr>
            <w:tcW w:w="327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投标人围绕精准理赔工作的查勘理赔工作方案，包括但不限于查勘理赔工作流程、服务举措。工作方案架构详细，流程清晰，可实施性强的得 5 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工作方案架构比较详细，流程比较清楚，可实施性比较的得3 分； 工作方案架构基本详细，流程基本完整，方法描述基本合理可行 的得 1 分。</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530"/>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服务创新方案</w:t>
            </w:r>
            <w:r/>
          </w:p>
        </w:tc>
        <w:tc>
          <w:tcPr>
            <w:tcW w:w="327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投标人拟定防灾减损、创新工作方案，包括不限于在农险业务、服务、与农村信贷相结合等创新方向措施。 服务创新方案全面，防灾减损预期效果好，内容合理的得 5 分； 服务创新方案较全面，防灾减损预期效果比较好，内容比较合理 的得 3 分； 服务创新方案基本全面，防灾减损预期效果一般，内容基本合理 的得 1 分。</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bl>
    <w:p>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
          <w:bCs/>
          <w:sz w:val="24"/>
          <w:szCs w:val="24"/>
        </w:rPr>
      </w:pPr>
      <w:r>
        <w:rPr>
          <w:rFonts w:hint="eastAsia" w:ascii="宋体" w:hAnsi="Courier New" w:eastAsia="宋体" w:cs="Times New Roman"/>
          <w:b/>
          <w:bCs/>
          <w:sz w:val="24"/>
          <w:szCs w:val="24"/>
        </w:rPr>
        <w:t xml:space="preserve">五、成交标准：</w:t>
      </w:r>
      <w:r/>
    </w:p>
    <w:p>
      <w:pPr>
        <w:rPr>
          <w:rFonts w:hint="eastAsia" w:ascii="宋体" w:hAnsi="宋体" w:eastAsia="宋体" w:cs="宋体"/>
        </w:rPr>
      </w:pPr>
      <w:r>
        <w:rPr>
          <w:rFonts w:hint="eastAsia" w:ascii="宋体" w:hAnsi="Courier New" w:eastAsia="宋体" w:cs="Times New Roman"/>
          <w:bCs/>
          <w:sz w:val="24"/>
          <w:szCs w:val="24"/>
          <w:lang w:val="en-US" w:eastAsia="zh-CN"/>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rPr>
      </w:pPr>
      <w:r/>
      <w:bookmarkStart w:id="75" w:name="_Toc29841"/>
      <w:r/>
      <w:bookmarkStart w:id="76" w:name="_Toc6457"/>
      <w:r>
        <w:rPr>
          <w:rFonts w:hint="eastAsia" w:ascii="宋体" w:hAnsi="宋体" w:eastAsia="宋体" w:cs="宋体"/>
          <w:b w:val="0"/>
        </w:rPr>
        <w:br w:type="page" w:clear="all"/>
      </w:r>
      <w:r/>
    </w:p>
    <w:p>
      <w:pPr>
        <w:pStyle w:val="790"/>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第六章投标文件格式</w:t>
      </w:r>
      <w:bookmarkEnd w:id="74"/>
      <w:r/>
      <w:bookmarkEnd w:id="75"/>
      <w:r/>
      <w:bookmarkEnd w:id="76"/>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outlineLvl w:val="0"/>
      </w:pPr>
      <w:r/>
      <w:bookmarkStart w:id="77" w:name="_Toc13361"/>
      <w:r>
        <w:rPr>
          <w:rFonts w:hint="eastAsia" w:ascii="宋体" w:hAnsi="宋体" w:eastAsia="宋体" w:cs="宋体"/>
          <w:b/>
          <w:sz w:val="72"/>
          <w:szCs w:val="21"/>
        </w:rPr>
        <w:t xml:space="preserve">投标文件</w:t>
      </w:r>
      <w:bookmarkEnd w:id="77"/>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项目名称：</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项目编号：</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投标人名称：</w:t>
      </w:r>
      <w:r>
        <w:rPr>
          <w:rFonts w:hint="eastAsia" w:ascii="宋体" w:hAnsi="宋体" w:eastAsia="宋体" w:cs="宋体"/>
          <w:b/>
          <w:sz w:val="36"/>
          <w:szCs w:val="21"/>
          <w:u w:val="single"/>
        </w:rPr>
        <w:t xml:space="preserve">（加盖CA电子公章）</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日期：</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szCs w:val="21"/>
        </w:rPr>
      </w:pPr>
      <w:r>
        <w:rPr>
          <w:rFonts w:hint="eastAsia" w:ascii="宋体" w:hAnsi="宋体" w:eastAsia="宋体" w:cs="宋体"/>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before="360" w:after="200" w:line="360" w:lineRule="auto"/>
        <w:rPr>
          <w:rFonts w:hint="eastAsia" w:ascii="宋体" w:hAnsi="宋体" w:eastAsia="宋体" w:cs="宋体"/>
          <w:i/>
          <w:sz w:val="30"/>
          <w:szCs w:val="30"/>
          <w:u w:val="single"/>
        </w:rPr>
        <w:outlineLvl w:val="0"/>
      </w:pPr>
      <w:r/>
      <w:bookmarkStart w:id="78" w:name="_Toc22999"/>
      <w:r>
        <w:rPr>
          <w:rFonts w:hint="eastAsia" w:ascii="宋体" w:hAnsi="宋体" w:eastAsia="宋体" w:cs="宋体"/>
          <w:i/>
          <w:sz w:val="30"/>
          <w:szCs w:val="30"/>
          <w:u w:val="single"/>
        </w:rPr>
        <w:t xml:space="preserve">一、法人或者其他组织的营业执照等证明文件，自然人的身份证明</w:t>
      </w:r>
      <w:bookmarkEnd w:id="78"/>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keepLines/>
        <w:keepNext/>
        <w:spacing w:before="360" w:after="200" w:line="360" w:lineRule="auto"/>
        <w:rPr>
          <w:rFonts w:hint="eastAsia" w:ascii="宋体" w:hAnsi="宋体" w:eastAsia="宋体" w:cs="宋体"/>
          <w:i/>
          <w:sz w:val="30"/>
          <w:szCs w:val="30"/>
          <w:u w:val="single"/>
        </w:rPr>
        <w:outlineLvl w:val="0"/>
      </w:pPr>
      <w:r/>
      <w:bookmarkStart w:id="79" w:name="_Toc12614"/>
      <w:r>
        <w:rPr>
          <w:rFonts w:hint="eastAsia" w:ascii="宋体" w:hAnsi="宋体" w:eastAsia="宋体" w:cs="宋体"/>
          <w:i/>
          <w:sz w:val="30"/>
          <w:szCs w:val="30"/>
          <w:u w:val="single"/>
        </w:rPr>
        <w:t xml:space="preserve">二、2023或202</w:t>
      </w:r>
      <w:r>
        <w:rPr>
          <w:rFonts w:hint="eastAsia" w:ascii="宋体" w:hAnsi="宋体" w:eastAsia="宋体" w:cs="宋体"/>
          <w:i/>
          <w:sz w:val="30"/>
          <w:szCs w:val="30"/>
          <w:u w:val="single"/>
          <w:lang w:val="en-US" w:eastAsia="zh-CN"/>
        </w:rPr>
        <w:t xml:space="preserve">4</w:t>
      </w:r>
      <w:r>
        <w:rPr>
          <w:rFonts w:hint="eastAsia" w:ascii="宋体" w:hAnsi="宋体" w:eastAsia="宋体" w:cs="宋体"/>
          <w:i/>
          <w:sz w:val="30"/>
          <w:szCs w:val="30"/>
          <w:u w:val="single"/>
        </w:rPr>
        <w:t xml:space="preserve">年度的财务状况报告</w:t>
      </w:r>
      <w:bookmarkEnd w:id="7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（成立不满一年无需提供）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0" w:name="_Toc12291"/>
      <w:r>
        <w:rPr>
          <w:rFonts w:hint="eastAsia" w:ascii="宋体" w:hAnsi="宋体" w:eastAsia="宋体" w:cs="宋体"/>
          <w:i/>
          <w:sz w:val="30"/>
          <w:szCs w:val="30"/>
          <w:u w:val="single"/>
        </w:rPr>
        <w:t xml:space="preserve">三、依法缴纳税收和社会保障资金的相关材料</w:t>
      </w:r>
      <w:bookmarkEnd w:id="8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hint="eastAsia" w:ascii="宋体" w:hAnsi="宋体" w:eastAsia="宋体" w:cs="宋体"/>
          <w:szCs w:val="24"/>
        </w:rPr>
      </w:pPr>
      <w:r>
        <w:rPr>
          <w:rFonts w:hint="eastAsia" w:ascii="宋体" w:hAnsi="宋体" w:eastAsia="宋体" w:cs="宋体"/>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投标人名称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1" w:name="_Toc18972"/>
      <w:r>
        <w:rPr>
          <w:rFonts w:hint="eastAsia" w:ascii="宋体" w:hAnsi="宋体" w:eastAsia="宋体" w:cs="宋体"/>
          <w:i/>
          <w:sz w:val="30"/>
          <w:szCs w:val="30"/>
          <w:u w:val="single"/>
        </w:rPr>
        <w:t xml:space="preserve">四、具备履行合同所必需的设备和专业技术能力的声明及证明材料</w:t>
      </w:r>
      <w:bookmarkEnd w:id="81"/>
      <w:r/>
      <w:r/>
    </w:p>
    <w:p>
      <w:pPr>
        <w:jc w:val="center"/>
        <w:spacing w:line="460" w:lineRule="exact"/>
        <w:rPr>
          <w:rFonts w:hint="eastAsia"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jc w:val="lef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jc w:val="left"/>
        <w:rPr>
          <w:rFonts w:hint="eastAsia" w:ascii="宋体" w:hAnsi="宋体" w:eastAsia="宋体" w:cs="宋体"/>
          <w:szCs w:val="24"/>
        </w:rPr>
      </w:pPr>
      <w:r>
        <w:rPr>
          <w:rFonts w:hint="eastAsia" w:ascii="宋体" w:hAnsi="宋体" w:eastAsia="宋体" w:cs="宋体"/>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附主要设备和主要专业技术能力的证明材料如下：</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2" w:name="_Toc2193"/>
      <w:r>
        <w:rPr>
          <w:rFonts w:hint="eastAsia" w:ascii="宋体" w:hAnsi="宋体" w:eastAsia="宋体" w:cs="宋体"/>
          <w:i/>
          <w:sz w:val="30"/>
          <w:szCs w:val="30"/>
          <w:u w:val="single"/>
        </w:rPr>
        <w:t xml:space="preserve">五、参加政府采购活动前3年内在经营活动中没有重大违法记录的书面声明</w:t>
      </w:r>
      <w:bookmarkEnd w:id="82"/>
      <w:r/>
      <w:r/>
    </w:p>
    <w:p>
      <w:pPr>
        <w:jc w:val="center"/>
        <w:spacing w:line="460" w:lineRule="exact"/>
        <w:rPr>
          <w:rFonts w:hint="eastAsia" w:ascii="宋体" w:hAnsi="宋体" w:eastAsia="宋体" w:cs="宋体"/>
          <w:b/>
          <w:bCs/>
          <w:sz w:val="44"/>
          <w:szCs w:val="44"/>
        </w:rPr>
      </w:pPr>
      <w:r>
        <w:rPr>
          <w:rFonts w:hint="eastAsia" w:ascii="宋体" w:hAnsi="宋体" w:eastAsia="宋体" w:cs="宋体"/>
          <w:bCs/>
          <w:sz w:val="36"/>
          <w:szCs w:val="28"/>
        </w:rPr>
        <w:t xml:space="preserve">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3" w:name="_Toc30692"/>
      <w:r>
        <w:rPr>
          <w:rFonts w:hint="eastAsia" w:ascii="宋体" w:hAnsi="宋体" w:eastAsia="宋体" w:cs="宋体"/>
          <w:i/>
          <w:sz w:val="30"/>
          <w:szCs w:val="30"/>
          <w:u w:val="single"/>
        </w:rPr>
        <w:t xml:space="preserve">六、法律、行政法规规定的其他条件的证明文件</w:t>
      </w:r>
      <w:bookmarkEnd w:id="8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4" w:name="_Toc30472"/>
      <w:r>
        <w:rPr>
          <w:rFonts w:hint="eastAsia" w:ascii="宋体" w:hAnsi="宋体" w:eastAsia="宋体" w:cs="宋体"/>
          <w:i/>
          <w:sz w:val="30"/>
          <w:szCs w:val="30"/>
          <w:u w:val="single"/>
        </w:rPr>
        <w:t xml:space="preserve">七、落实政府采购政策需满足的资格要求的证明文件</w:t>
      </w:r>
      <w:bookmarkEnd w:id="8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5" w:name="_Toc27322"/>
      <w:r>
        <w:rPr>
          <w:rFonts w:hint="eastAsia" w:ascii="宋体" w:hAnsi="宋体" w:eastAsia="宋体" w:cs="宋体"/>
          <w:i/>
          <w:sz w:val="30"/>
          <w:szCs w:val="30"/>
          <w:u w:val="single"/>
        </w:rPr>
        <w:t xml:space="preserve">八、特定资格要求的证明文件</w:t>
      </w:r>
      <w:bookmarkEnd w:id="8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i/>
          <w:sz w:val="30"/>
          <w:szCs w:val="30"/>
          <w:u w:val="single"/>
          <w:lang w:val="en-US" w:eastAsia="zh-CN"/>
        </w:rPr>
        <w:t xml:space="preserve">九</w:t>
      </w:r>
      <w:r>
        <w:rPr>
          <w:rFonts w:hint="eastAsia" w:ascii="宋体" w:hAnsi="宋体" w:eastAsia="宋体" w:cs="宋体"/>
          <w:i/>
          <w:sz w:val="30"/>
          <w:szCs w:val="30"/>
          <w:u w:val="single"/>
        </w:rPr>
        <w:t xml:space="preserve">、</w:t>
      </w:r>
      <w:r>
        <w:rPr>
          <w:rFonts w:hint="eastAsia" w:ascii="宋体" w:hAnsi="宋体" w:eastAsia="宋体" w:cs="宋体"/>
          <w:i/>
          <w:sz w:val="30"/>
          <w:szCs w:val="30"/>
          <w:u w:val="single"/>
          <w:lang w:val="en-US" w:eastAsia="zh-CN"/>
        </w:rPr>
        <w:t xml:space="preserve">本项目的其他资格要求</w:t>
      </w:r>
      <w:r>
        <w:rPr>
          <w:rFonts w:hint="eastAsia" w:ascii="宋体" w:hAnsi="宋体" w:eastAsia="宋体" w:cs="宋体"/>
          <w:i/>
          <w:sz w:val="30"/>
          <w:szCs w:val="30"/>
          <w:u w:val="single"/>
        </w:rPr>
        <w:t xml:space="preserve">的证明文件</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6" w:name="_Toc29434"/>
      <w:r>
        <w:rPr>
          <w:rFonts w:hint="eastAsia" w:ascii="宋体" w:hAnsi="宋体" w:eastAsia="宋体" w:cs="宋体"/>
          <w:i/>
          <w:sz w:val="30"/>
          <w:szCs w:val="30"/>
          <w:u w:val="single"/>
          <w:lang w:val="en-US" w:eastAsia="zh-CN"/>
        </w:rPr>
        <w:t xml:space="preserve">十</w:t>
      </w:r>
      <w:r>
        <w:rPr>
          <w:rFonts w:hint="eastAsia" w:ascii="宋体" w:hAnsi="宋体" w:eastAsia="宋体" w:cs="宋体"/>
          <w:i/>
          <w:sz w:val="30"/>
          <w:szCs w:val="30"/>
          <w:u w:val="single"/>
        </w:rPr>
        <w:t xml:space="preserve">、授权委托书与法定代表人（单位负责人）身份证明</w:t>
      </w:r>
      <w:bookmarkEnd w:id="86"/>
      <w:r/>
      <w:r/>
    </w:p>
    <w:p>
      <w:pPr>
        <w:pStyle w:val="982"/>
        <w:ind w:firstLine="480"/>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p>
    <w:p>
      <w:pPr>
        <w:pStyle w:val="982"/>
        <w:ind w:firstLine="480"/>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982"/>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pStyle w:val="982"/>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982"/>
        <w:ind w:firstLine="1200"/>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982"/>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982"/>
        <w:ind w:firstLine="480"/>
        <w:rPr>
          <w:rFonts w:hint="eastAsia" w:ascii="宋体" w:hAnsi="宋体" w:eastAsia="宋体" w:cs="宋体"/>
          <w:sz w:val="24"/>
          <w:szCs w:val="24"/>
        </w:rPr>
      </w:pPr>
      <w:r>
        <w:rPr>
          <w:rFonts w:hint="eastAsia" w:ascii="宋体" w:hAnsi="宋体" w:eastAsia="宋体" w:cs="宋体"/>
          <w:sz w:val="24"/>
          <w:szCs w:val="24"/>
        </w:rPr>
        <w:t xml:space="preserve">      日期：</w:t>
      </w:r>
      <w:bookmarkStart w:id="87" w:name="_Hlt26671380"/>
      <w:r/>
      <w:bookmarkEnd w:id="87"/>
      <w:r/>
      <w:bookmarkStart w:id="88" w:name="_格式3__银行出具的资信证明"/>
      <w:r/>
      <w:bookmarkEnd w:id="88"/>
      <w:r/>
      <w:bookmarkStart w:id="89" w:name="_Hlt26955070"/>
      <w:r/>
      <w:bookmarkEnd w:id="89"/>
      <w:r>
        <w:rPr>
          <w:rFonts w:hint="eastAsia" w:ascii="宋体" w:hAnsi="宋体" w:eastAsia="宋体" w:cs="宋体"/>
          <w:sz w:val="24"/>
          <w:szCs w:val="24"/>
          <w:u w:val="single"/>
        </w:rPr>
        <w:t xml:space="preserve">                                         </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spacing w:line="20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8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90" w:name="_Toc19495"/>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一</w:t>
      </w:r>
      <w:r>
        <w:rPr>
          <w:rFonts w:hint="eastAsia" w:ascii="宋体" w:hAnsi="宋体" w:eastAsia="宋体" w:cs="宋体"/>
          <w:i/>
          <w:sz w:val="30"/>
          <w:szCs w:val="30"/>
          <w:u w:val="single"/>
        </w:rPr>
        <w:t xml:space="preserve">、投标函</w:t>
      </w:r>
      <w:bookmarkEnd w:id="90"/>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Cs/>
          <w:sz w:val="36"/>
          <w:szCs w:val="28"/>
        </w:rPr>
        <w:t xml:space="preserve">投标函</w:t>
      </w:r>
      <w:r/>
    </w:p>
    <w:p>
      <w:pPr>
        <w:jc w:val="left"/>
        <w:spacing w:line="50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致：</w:t>
      </w:r>
      <w:r>
        <w:rPr>
          <w:rFonts w:hint="eastAsia" w:ascii="宋体" w:hAnsi="宋体" w:eastAsia="宋体" w:cs="宋体"/>
          <w:sz w:val="24"/>
          <w:szCs w:val="21"/>
          <w:lang w:eastAsia="zh-CN"/>
        </w:rPr>
        <w:t xml:space="preserve">江苏永安工程项目管理有限公司</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根据贵方的JSZC-____________号招标文件，正式授权下述签字人________（姓名）代表我方___________（投标人的名称），全权处理本次项目投标的有关事宜。</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据此函，_______签字人兹宣布同意如下：</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地址：</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邮编：</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电话：</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传真：</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账号：</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投标人（盖章）：</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日期：年月日</w:t>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91" w:name="_Toc22280"/>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二</w:t>
      </w:r>
      <w:r>
        <w:rPr>
          <w:rFonts w:hint="eastAsia" w:ascii="宋体" w:hAnsi="宋体" w:eastAsia="宋体" w:cs="宋体"/>
          <w:i/>
          <w:sz w:val="30"/>
          <w:szCs w:val="30"/>
          <w:u w:val="single"/>
        </w:rPr>
        <w:t xml:space="preserve">、中小企业声明函（服务）（项目编号：**）</w:t>
      </w:r>
      <w:bookmarkEnd w:id="91"/>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（项目编号：项目编号：）采购活动，提供的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right="162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2、请投标人如实填写，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hint="eastAsia" w:ascii="宋体" w:hAnsi="宋体" w:eastAsia="宋体" w:cs="宋体"/>
          <w:i/>
          <w:sz w:val="30"/>
          <w:szCs w:val="30"/>
          <w:u w:val="single"/>
        </w:rPr>
        <w:outlineLvl w:val="0"/>
      </w:pPr>
      <w:r/>
      <w:bookmarkStart w:id="92" w:name="_Toc28315"/>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三</w:t>
      </w:r>
      <w:r>
        <w:rPr>
          <w:rFonts w:hint="eastAsia" w:ascii="宋体" w:hAnsi="宋体" w:eastAsia="宋体" w:cs="宋体"/>
          <w:i/>
          <w:sz w:val="30"/>
          <w:szCs w:val="30"/>
          <w:u w:val="single"/>
        </w:rPr>
        <w:t xml:space="preserve">、残疾人福利性单位声明函（项目编号：**）</w:t>
      </w:r>
      <w:bookmarkEnd w:id="92"/>
      <w:r/>
      <w:r/>
    </w:p>
    <w:p>
      <w:pPr>
        <w:jc w:val="center"/>
        <w:spacing w:line="360" w:lineRule="auto"/>
        <w:tabs>
          <w:tab w:val="left" w:pos="360" w:leader="none"/>
        </w:tabs>
        <w:rPr>
          <w:rFonts w:hint="eastAsia"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本单位郑重声明，根据《财政部民政部中国残疾人联合会关于促进残疾人就业政府采购政策的通知》（财库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141号）的规定，本单位为符合条件的残疾人福利性单位，且本单位参加单位的项目（</w:t>
      </w:r>
      <w:r>
        <w:rPr>
          <w:rFonts w:hint="eastAsia" w:ascii="宋体" w:hAnsi="宋体" w:eastAsia="宋体" w:cs="宋体"/>
          <w:sz w:val="24"/>
          <w:szCs w:val="24"/>
        </w:rPr>
        <w:t xml:space="preserve">项目编号：项目编号：</w:t>
      </w:r>
      <w:r>
        <w:rPr>
          <w:rFonts w:hint="eastAsia" w:ascii="宋体" w:hAnsi="宋体" w:eastAsia="宋体" w:cs="宋体"/>
          <w:sz w:val="24"/>
          <w:szCs w:val="21"/>
        </w:rPr>
        <w:t xml:space="preserve">）采购活动由本单位提供全部服务。</w:t>
      </w:r>
      <w:r/>
    </w:p>
    <w:p>
      <w:pPr>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sz w:val="24"/>
          <w:szCs w:val="21"/>
        </w:rPr>
      </w:pPr>
      <w:r>
        <w:rPr>
          <w:rFonts w:hint="eastAsia" w:ascii="宋体" w:hAnsi="宋体" w:eastAsia="宋体" w:cs="宋体"/>
          <w:sz w:val="24"/>
          <w:szCs w:val="21"/>
        </w:rPr>
      </w:r>
      <w:r/>
    </w:p>
    <w:p>
      <w:pPr>
        <w:ind w:right="162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请投标人如实填写，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left"/>
        <w:keepLines/>
        <w:keepNext/>
        <w:spacing w:before="360" w:after="200" w:line="360" w:lineRule="auto"/>
        <w:rPr>
          <w:rFonts w:hint="default" w:ascii="宋体" w:hAnsi="宋体" w:eastAsia="宋体" w:cs="宋体"/>
          <w:i/>
          <w:sz w:val="30"/>
          <w:szCs w:val="30"/>
          <w:u w:val="single"/>
          <w:lang w:val="en-US" w:eastAsia="zh-CN"/>
        </w:rPr>
        <w:outlineLvl w:val="0"/>
      </w:pPr>
      <w:r/>
      <w:bookmarkStart w:id="93" w:name="_Toc6610"/>
      <w:r/>
      <w:r/>
    </w:p>
    <w:p>
      <w:pPr>
        <w:jc w:val="left"/>
        <w:keepLines/>
        <w:keepNext/>
        <w:spacing w:before="360" w:after="200" w:line="360" w:lineRule="auto"/>
        <w:rPr>
          <w:rFonts w:hint="eastAsia" w:ascii="宋体" w:hAnsi="宋体" w:eastAsia="宋体" w:cs="宋体"/>
          <w:i/>
          <w:sz w:val="30"/>
          <w:szCs w:val="30"/>
          <w:u w:val="single"/>
        </w:rPr>
        <w:outlineLvl w:val="0"/>
      </w:pPr>
      <w:r>
        <w:rPr>
          <w:rFonts w:hint="eastAsia" w:ascii="宋体" w:hAnsi="宋体" w:eastAsia="宋体" w:cs="宋体"/>
          <w:i/>
          <w:sz w:val="30"/>
          <w:szCs w:val="30"/>
          <w:u w:val="single"/>
        </w:rPr>
        <w:t xml:space="preserve">十四、</w:t>
      </w:r>
      <w:r>
        <w:rPr>
          <w:rFonts w:hint="eastAsia" w:ascii="宋体" w:hAnsi="宋体" w:eastAsia="宋体" w:cs="宋体"/>
          <w:i/>
          <w:sz w:val="30"/>
          <w:szCs w:val="30"/>
          <w:u w:val="single"/>
          <w:lang w:val="en-US" w:eastAsia="zh-CN"/>
        </w:rPr>
        <w:t xml:space="preserve">项目需求响应承诺</w:t>
      </w:r>
      <w:r>
        <w:rPr>
          <w:rFonts w:hint="eastAsia" w:ascii="宋体" w:hAnsi="宋体" w:eastAsia="宋体" w:cs="宋体"/>
          <w:i/>
          <w:sz w:val="30"/>
          <w:szCs w:val="30"/>
          <w:u w:val="single"/>
        </w:rPr>
        <w:t xml:space="preserve">（项目编号：**）</w:t>
      </w:r>
      <w:bookmarkEnd w:id="93"/>
      <w:r/>
      <w:r/>
    </w:p>
    <w:p>
      <w:pPr>
        <w:spacing w:line="0" w:lineRule="atLeast"/>
        <w:widowControl/>
        <w:rPr>
          <w:rFonts w:hint="eastAsia" w:ascii="宋体" w:hAnsi="宋体" w:eastAsia="宋体" w:cs="宋体"/>
          <w:i/>
          <w:sz w:val="30"/>
          <w:szCs w:val="30"/>
          <w:u w:val="single"/>
        </w:rPr>
        <w:sectPr>
          <w:footnotePr/>
          <w:endnotePr/>
          <w:type w:val="nextPage"/>
          <w:pgSz w:w="11906" w:h="16838" w:orient="portrait"/>
          <w:pgMar w:top="1440" w:right="1463" w:bottom="1440" w:left="1463" w:header="851" w:footer="992" w:gutter="0"/>
          <w:cols w:num="1" w:sep="0" w:space="425" w:equalWidth="1"/>
          <w:docGrid w:linePitch="360"/>
        </w:sectPr>
      </w:pPr>
      <w:r>
        <w:rPr>
          <w:rFonts w:hint="eastAsia" w:ascii="宋体" w:hAnsi="宋体" w:eastAsia="宋体" w:cs="宋体"/>
          <w:i/>
          <w:sz w:val="30"/>
          <w:szCs w:val="30"/>
          <w:u w:val="single"/>
        </w:rPr>
      </w:r>
      <w:r/>
    </w:p>
    <w:p>
      <w:pPr>
        <w:jc w:val="left"/>
        <w:keepLines/>
        <w:keepNext/>
        <w:spacing w:before="360" w:after="200" w:line="360" w:lineRule="auto"/>
        <w:rPr>
          <w:rFonts w:hint="eastAsia" w:ascii="宋体" w:hAnsi="宋体" w:eastAsia="宋体" w:cs="宋体"/>
          <w:i/>
          <w:sz w:val="30"/>
          <w:szCs w:val="30"/>
          <w:u w:val="single"/>
        </w:rPr>
        <w:outlineLvl w:val="0"/>
      </w:pPr>
      <w:r/>
      <w:bookmarkStart w:id="94" w:name="_Hlt26955054"/>
      <w:r/>
      <w:bookmarkEnd w:id="94"/>
      <w:r/>
      <w:bookmarkStart w:id="95" w:name="_Toc14027"/>
      <w:r>
        <w:rPr>
          <w:rFonts w:hint="eastAsia" w:ascii="宋体" w:hAnsi="宋体" w:eastAsia="宋体" w:cs="宋体"/>
          <w:i/>
          <w:sz w:val="30"/>
          <w:szCs w:val="30"/>
          <w:u w:val="single"/>
        </w:rPr>
        <w:t xml:space="preserve">十五、商务要求响应及偏离表（项目编号：**）</w:t>
      </w:r>
      <w:bookmarkEnd w:id="95"/>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tbl>
      <w:tblPr>
        <w:tblStyle w:val="8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sz w:val="24"/>
                <w:szCs w:val="24"/>
              </w:rPr>
            </w:pPr>
            <w:r/>
            <w:bookmarkStart w:id="96" w:name="_Hlt24879081"/>
            <w:r/>
            <w:bookmarkEnd w:id="96"/>
            <w:r/>
            <w:bookmarkStart w:id="97" w:name="_Hlt26955064"/>
            <w:r/>
            <w:bookmarkEnd w:id="97"/>
            <w:r/>
            <w:bookmarkStart w:id="98" w:name="_Hlt26580838"/>
            <w:r/>
            <w:bookmarkEnd w:id="98"/>
            <w:r/>
            <w:bookmarkStart w:id="99" w:name="_Hlt26955056"/>
            <w:r/>
            <w:bookmarkEnd w:id="99"/>
            <w:r/>
            <w:bookmarkStart w:id="100" w:name="_Hlt26671343"/>
            <w:r/>
            <w:bookmarkEnd w:id="100"/>
            <w:r/>
            <w:bookmarkStart w:id="101" w:name="_Hlt26609391"/>
            <w:r/>
            <w:bookmarkEnd w:id="101"/>
            <w:r/>
            <w:bookmarkStart w:id="102" w:name="_Hlt26671372"/>
            <w:r/>
            <w:bookmarkEnd w:id="102"/>
            <w:r/>
            <w:bookmarkStart w:id="103" w:name="_Hlt26782999"/>
            <w:r/>
            <w:bookmarkEnd w:id="103"/>
            <w:r>
              <w:rPr>
                <w:rFonts w:hint="eastAsia" w:ascii="宋体" w:hAnsi="宋体" w:eastAsia="宋体" w:cs="宋体"/>
                <w:sz w:val="24"/>
                <w:szCs w:val="24"/>
              </w:rPr>
              <w:t xml:space="preserve">序号</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bookmarkStart w:id="104" w:name="_格式2__法定代表人授权书"/>
      <w:r/>
      <w:bookmarkEnd w:id="104"/>
      <w:r/>
      <w:bookmarkStart w:id="105" w:name="_Hlt26955066"/>
      <w:r/>
      <w:bookmarkEnd w:id="105"/>
      <w:r/>
      <w:bookmarkStart w:id="106" w:name="_Hlt26671374"/>
      <w:r/>
      <w:bookmarkEnd w:id="106"/>
      <w:r/>
      <w:bookmarkStart w:id="107" w:name="_Hlt26609389"/>
      <w:r/>
      <w:bookmarkEnd w:id="10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六</w:t>
      </w:r>
      <w:r>
        <w:rPr>
          <w:rFonts w:hint="eastAsia" w:ascii="宋体" w:hAnsi="宋体" w:eastAsia="宋体" w:cs="宋体"/>
          <w:i/>
          <w:sz w:val="30"/>
          <w:szCs w:val="30"/>
          <w:u w:val="single"/>
        </w:rPr>
        <w:t xml:space="preserve">、</w:t>
      </w:r>
      <w:r>
        <w:rPr>
          <w:rFonts w:hint="eastAsia" w:ascii="宋体" w:hAnsi="宋体" w:eastAsia="宋体" w:cs="宋体"/>
          <w:i/>
          <w:sz w:val="30"/>
          <w:szCs w:val="30"/>
          <w:u w:val="single"/>
          <w:lang w:val="en-US" w:eastAsia="zh-CN"/>
        </w:rPr>
        <w:t xml:space="preserve">技术</w:t>
      </w:r>
      <w:r>
        <w:rPr>
          <w:rFonts w:hint="eastAsia" w:ascii="宋体" w:hAnsi="宋体" w:eastAsia="宋体" w:cs="宋体"/>
          <w:i/>
          <w:sz w:val="30"/>
          <w:szCs w:val="30"/>
          <w:u w:val="single"/>
        </w:rPr>
        <w:t xml:space="preserve">要求响应及偏离表（项目编号：**）</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lang w:val="en-US" w:eastAsia="zh-CN"/>
        </w:rPr>
        <w:t xml:space="preserve">技术</w:t>
      </w:r>
      <w:r>
        <w:rPr>
          <w:rFonts w:hint="eastAsia" w:ascii="宋体" w:hAnsi="宋体" w:eastAsia="宋体" w:cs="宋体"/>
          <w:bCs/>
          <w:sz w:val="36"/>
          <w:szCs w:val="28"/>
        </w:rPr>
        <w:t xml:space="preserve">要求响应及偏离表</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tbl>
      <w:tblPr>
        <w:tblStyle w:val="8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108" w:name="_Toc25407"/>
      <w:r>
        <w:rPr>
          <w:rFonts w:hint="eastAsia" w:ascii="宋体" w:hAnsi="宋体" w:eastAsia="宋体" w:cs="宋体"/>
          <w:i w:val="0"/>
          <w:iCs/>
          <w:sz w:val="30"/>
          <w:szCs w:val="30"/>
          <w:u w:val="single"/>
        </w:rPr>
        <w:t xml:space="preserve">十六、</w:t>
      </w:r>
      <w:bookmarkEnd w:id="108"/>
      <w:r>
        <w:rPr>
          <w:rFonts w:hint="eastAsia" w:ascii="宋体" w:hAnsi="宋体" w:eastAsia="宋体" w:cs="宋体"/>
          <w:i w:val="0"/>
          <w:iCs/>
          <w:sz w:val="30"/>
          <w:szCs w:val="30"/>
          <w:u w:val="single"/>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r/>
    </w:p>
    <w:tbl>
      <w:tblPr>
        <w:tblStyle w:val="8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3"/>
        </w:numPr>
        <w:rPr>
          <w:rFonts w:hint="eastAsia" w:ascii="Arial" w:hAnsi="Arial" w:eastAsia="宋体" w:cs="Arial"/>
          <w:i w:val="0"/>
          <w:iCs/>
          <w:sz w:val="28"/>
          <w:szCs w:val="20"/>
          <w:u w:val="single"/>
        </w:rPr>
      </w:pPr>
      <w:r>
        <w:rPr>
          <w:rFonts w:hint="eastAsia" w:ascii="Arial" w:hAnsi="Arial" w:eastAsia="宋体" w:cs="Arial"/>
          <w:i w:val="0"/>
          <w:iCs/>
          <w:sz w:val="28"/>
          <w:szCs w:val="20"/>
          <w:u w:val="single"/>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w:t>
      </w:r>
      <w:r>
        <w:rPr>
          <w:rFonts w:ascii="宋体" w:hAnsi="宋体" w:eastAsia="宋体" w:cs="Times New Roman"/>
          <w:bCs/>
          <w:color w:val="000000"/>
          <w:sz w:val="24"/>
          <w:szCs w:val="24"/>
        </w:rPr>
        <w:t xml:space="preserve"> </w:t>
      </w:r>
      <w:r/>
    </w:p>
    <w:tbl>
      <w:tblPr>
        <w:tblStyle w:val="8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注：本格式可根据项目需求、评分办法进行调整</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numPr>
          <w:ilvl w:val="0"/>
          <w:numId w:val="0"/>
        </w:numPr>
        <w:rPr>
          <w:rFonts w:hint="eastAsia" w:ascii="Arial" w:hAnsi="Arial" w:eastAsia="宋体" w:cs="Arial"/>
          <w:i/>
          <w:iCs w:val="0"/>
          <w:sz w:val="28"/>
          <w:szCs w:val="20"/>
        </w:rPr>
      </w:pPr>
      <w:r>
        <w:rPr>
          <w:rFonts w:hint="eastAsia" w:ascii="Arial" w:hAnsi="Arial" w:eastAsia="宋体" w:cs="Arial"/>
          <w:i/>
          <w:iCs w:val="0"/>
          <w:sz w:val="28"/>
          <w:szCs w:val="20"/>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Symbol">
    <w:panose1 w:val="05050102010706020507"/>
  </w:font>
  <w:font w:name="楷体">
    <w:panose1 w:val="02010609060101010101"/>
  </w:font>
  <w:font w:name="方正中等线简体">
    <w:panose1 w:val="020B0503020202020204"/>
  </w:font>
  <w:font w:name="MS Mincho">
    <w:panose1 w:val="020206030504050903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29270858"/>
                            <w:rPr/>
                          </w:sdtPr>
                          <w:sdtContent>
                            <w:p>
                              <w:pPr>
                                <w:pStyle w:val="813"/>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29270858"/>
                      <w:rPr/>
                    </w:sdtPr>
                    <w:sdtContent>
                      <w:p>
                        <w:pPr>
                          <w:pStyle w:val="813"/>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r/>
                    <w:r/>
                  </w:p>
                </w:txbxContent>
              </v:textbox>
            </v:shape>
          </w:pict>
        </mc:Fallback>
      </mc:AlternateContent>
    </w:r>
    <w:r/>
  </w:p>
  <w:p>
    <w:pPr>
      <w:pStyle w:val="8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74176"/>
                            <w:rPr/>
                          </w:sdtPr>
                          <w:sdtContent>
                            <w:p>
                              <w:pPr>
                                <w:pStyle w:val="813"/>
                                <w:jc w:val="center"/>
                              </w:pPr>
                              <w:r>
                                <w:fldChar w:fldCharType="begin"/>
                              </w:r>
                              <w:r>
                                <w:instrText xml:space="preserve"> PAGE   \* MERGEFORMAT </w:instrText>
                              </w:r>
                              <w:r>
                                <w:fldChar w:fldCharType="separate"/>
                              </w:r>
                              <w:r>
                                <w:rPr>
                                  <w:lang w:val="zh-CN"/>
                                </w:rPr>
                                <w:t xml:space="preserve">71</w:t>
                              </w:r>
                              <w:r>
                                <w:rPr>
                                  <w:lang w:val="zh-CN"/>
                                </w:rPr>
                                <w:fldChar w:fldCharType="end"/>
                              </w:r>
                              <w:r/>
                            </w:p>
                          </w:sdtContent>
                        </w:sdt>
                        <w:p>
                          <w:pPr>
                            <w:pStyle w:val="793"/>
                          </w:pPr>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74176"/>
                      <w:rPr/>
                    </w:sdtPr>
                    <w:sdtContent>
                      <w:p>
                        <w:pPr>
                          <w:pStyle w:val="813"/>
                          <w:jc w:val="center"/>
                        </w:pPr>
                        <w:r>
                          <w:fldChar w:fldCharType="begin"/>
                        </w:r>
                        <w:r>
                          <w:instrText xml:space="preserve"> PAGE   \* MERGEFORMAT </w:instrText>
                        </w:r>
                        <w:r>
                          <w:fldChar w:fldCharType="separate"/>
                        </w:r>
                        <w:r>
                          <w:rPr>
                            <w:lang w:val="zh-CN"/>
                          </w:rPr>
                          <w:t xml:space="preserve">71</w:t>
                        </w:r>
                        <w:r>
                          <w:rPr>
                            <w:lang w:val="zh-CN"/>
                          </w:rPr>
                          <w:fldChar w:fldCharType="end"/>
                        </w:r>
                        <w:r/>
                      </w:p>
                    </w:sdtContent>
                  </w:sdt>
                  <w:p>
                    <w:pPr>
                      <w:pStyle w:val="793"/>
                    </w:pPr>
                    <w:r/>
                    <w:r/>
                  </w:p>
                </w:txbxContent>
              </v:textbox>
            </v:shape>
          </w:pict>
        </mc:Fallback>
      </mc:AlternateContent>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rPr>
        <w:rFonts w:hint="eastAsia"/>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90">
    <w:name w:val="Heading 1"/>
    <w:basedOn w:val="789"/>
    <w:next w:val="789"/>
    <w:uiPriority w:val="9"/>
    <w:qFormat/>
    <w:pPr>
      <w:keepLines/>
      <w:keepNext/>
      <w:spacing w:before="340" w:after="330" w:line="578" w:lineRule="auto"/>
      <w:outlineLvl w:val="0"/>
    </w:pPr>
    <w:rPr>
      <w:b/>
      <w:bCs/>
      <w:sz w:val="44"/>
      <w:szCs w:val="44"/>
    </w:rPr>
  </w:style>
  <w:style w:type="paragraph" w:styleId="791">
    <w:name w:val="Heading 2"/>
    <w:basedOn w:val="789"/>
    <w:next w:val="78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2">
    <w:name w:val="Heading 3"/>
    <w:basedOn w:val="789"/>
    <w:next w:val="789"/>
    <w:uiPriority w:val="9"/>
    <w:unhideWhenUsed/>
    <w:qFormat/>
    <w:pPr>
      <w:keepLines/>
      <w:keepNext/>
      <w:spacing w:before="260" w:after="260" w:line="416" w:lineRule="auto"/>
      <w:outlineLvl w:val="2"/>
    </w:pPr>
    <w:rPr>
      <w:b/>
      <w:bCs/>
      <w:sz w:val="32"/>
      <w:szCs w:val="32"/>
    </w:rPr>
  </w:style>
  <w:style w:type="paragraph" w:styleId="793">
    <w:name w:val="Heading 4"/>
    <w:basedOn w:val="789"/>
    <w:next w:val="789"/>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6"/>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7"/>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40"/>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right="0" w:firstLine="0"/>
      <w:spacing w:after="57"/>
    </w:pPr>
  </w:style>
  <w:style w:type="paragraph" w:styleId="802">
    <w:name w:val="Caption"/>
    <w:basedOn w:val="789"/>
    <w:next w:val="7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3">
    <w:name w:val="annotation text"/>
    <w:basedOn w:val="789"/>
    <w:uiPriority w:val="99"/>
    <w:semiHidden/>
    <w:unhideWhenUsed/>
    <w:qFormat/>
    <w:pPr>
      <w:jc w:val="left"/>
    </w:pPr>
  </w:style>
  <w:style w:type="paragraph" w:styleId="804">
    <w:name w:val="Body Text"/>
    <w:basedOn w:val="789"/>
    <w:next w:val="805"/>
    <w:uiPriority w:val="0"/>
    <w:qFormat/>
    <w:rPr>
      <w:rFonts w:eastAsia="楷体_GB2312"/>
      <w:b/>
      <w:bCs/>
      <w:color w:val="ff0000"/>
      <w:sz w:val="32"/>
      <w:szCs w:val="32"/>
      <w:lang w:val="zh-CN"/>
    </w:rPr>
  </w:style>
  <w:style w:type="paragraph" w:styleId="805">
    <w:name w:val="Body Text 2"/>
    <w:next w:val="804"/>
    <w:uiPriority w:val="0"/>
    <w:qFormat/>
    <w:pPr>
      <w:jc w:val="both"/>
      <w:spacing w:line="560" w:lineRule="exact"/>
      <w:widowControl w:val="off"/>
    </w:pPr>
    <w:rPr>
      <w:rFonts w:hint="default" w:ascii="仿宋_GB2312" w:hAnsi="Times New Roman" w:eastAsia="仿宋_GB2312" w:cs="Times New Roman"/>
      <w:sz w:val="28"/>
      <w:szCs w:val="30"/>
      <w:lang w:val="en-US" w:eastAsia="zh-CN" w:bidi="ar-SA"/>
    </w:rPr>
  </w:style>
  <w:style w:type="paragraph" w:styleId="806">
    <w:name w:val="Body Text Indent"/>
    <w:basedOn w:val="789"/>
    <w:uiPriority w:val="0"/>
    <w:qFormat/>
    <w:pPr>
      <w:ind w:firstLine="630"/>
    </w:pPr>
    <w:rPr>
      <w:rFonts w:ascii="楷体_GB2312" w:eastAsia="楷体_GB2312"/>
      <w:sz w:val="32"/>
      <w:szCs w:val="20"/>
    </w:rPr>
  </w:style>
  <w:style w:type="paragraph" w:styleId="807">
    <w:name w:val="Block Text"/>
    <w:basedOn w:val="789"/>
    <w:uiPriority w:val="0"/>
    <w:qFormat/>
    <w:pPr>
      <w:ind w:left="840" w:right="210"/>
      <w:tabs>
        <w:tab w:val="left" w:pos="9420" w:leader="none"/>
      </w:tabs>
    </w:pPr>
    <w:rPr>
      <w:rFonts w:ascii="宋体" w:hAnsi="宋体" w:eastAsia="宋体" w:cs="Times New Roman"/>
      <w:sz w:val="24"/>
      <w:szCs w:val="24"/>
    </w:rPr>
  </w:style>
  <w:style w:type="paragraph" w:styleId="808">
    <w:name w:val="toc 5"/>
    <w:basedOn w:val="789"/>
    <w:next w:val="789"/>
    <w:uiPriority w:val="39"/>
    <w:unhideWhenUsed/>
    <w:qFormat/>
    <w:pPr>
      <w:ind w:left="1134" w:right="0" w:firstLine="0"/>
      <w:spacing w:after="57"/>
    </w:pPr>
  </w:style>
  <w:style w:type="paragraph" w:styleId="809">
    <w:name w:val="toc 3"/>
    <w:basedOn w:val="789"/>
    <w:next w:val="789"/>
    <w:uiPriority w:val="39"/>
    <w:unhideWhenUsed/>
    <w:qFormat/>
    <w:pPr>
      <w:ind w:left="567" w:right="0" w:firstLine="0"/>
      <w:spacing w:after="57"/>
    </w:pPr>
  </w:style>
  <w:style w:type="paragraph" w:styleId="810">
    <w:name w:val="Plain Text"/>
    <w:basedOn w:val="789"/>
    <w:uiPriority w:val="0"/>
    <w:qFormat/>
    <w:rPr>
      <w:rFonts w:ascii="宋体" w:hAnsi="Courier New" w:eastAsia="宋体" w:cs="Times New Roman"/>
      <w:szCs w:val="20"/>
    </w:rPr>
  </w:style>
  <w:style w:type="paragraph" w:styleId="811">
    <w:name w:val="toc 8"/>
    <w:basedOn w:val="789"/>
    <w:next w:val="789"/>
    <w:uiPriority w:val="39"/>
    <w:unhideWhenUsed/>
    <w:qFormat/>
    <w:pPr>
      <w:ind w:left="1984" w:right="0" w:firstLine="0"/>
      <w:spacing w:after="57"/>
    </w:pPr>
  </w:style>
  <w:style w:type="paragraph" w:styleId="812">
    <w:name w:val="endnote text"/>
    <w:basedOn w:val="789"/>
    <w:link w:val="977"/>
    <w:uiPriority w:val="99"/>
    <w:semiHidden/>
    <w:unhideWhenUsed/>
    <w:qFormat/>
    <w:pPr>
      <w:spacing w:after="0" w:line="240" w:lineRule="auto"/>
    </w:pPr>
    <w:rPr>
      <w:sz w:val="20"/>
    </w:rPr>
  </w:style>
  <w:style w:type="paragraph" w:styleId="813">
    <w:name w:val="Footer"/>
    <w:basedOn w:val="789"/>
    <w:uiPriority w:val="99"/>
    <w:unhideWhenUsed/>
    <w:qFormat/>
    <w:pPr>
      <w:jc w:val="left"/>
      <w:tabs>
        <w:tab w:val="center" w:pos="4153" w:leader="none"/>
        <w:tab w:val="right" w:pos="8306" w:leader="none"/>
      </w:tabs>
    </w:pPr>
    <w:rPr>
      <w:sz w:val="18"/>
      <w:szCs w:val="18"/>
    </w:rPr>
  </w:style>
  <w:style w:type="paragraph" w:styleId="814">
    <w:name w:val="Header"/>
    <w:basedOn w:val="78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15">
    <w:name w:val="toc 1"/>
    <w:basedOn w:val="789"/>
    <w:next w:val="789"/>
    <w:uiPriority w:val="39"/>
    <w:unhideWhenUsed/>
    <w:qFormat/>
  </w:style>
  <w:style w:type="paragraph" w:styleId="816">
    <w:name w:val="toc 4"/>
    <w:basedOn w:val="789"/>
    <w:next w:val="789"/>
    <w:uiPriority w:val="39"/>
    <w:unhideWhenUsed/>
    <w:qFormat/>
    <w:pPr>
      <w:ind w:left="850" w:right="0" w:firstLine="0"/>
      <w:spacing w:after="57"/>
    </w:pPr>
  </w:style>
  <w:style w:type="paragraph" w:styleId="817">
    <w:name w:val="Subtitle"/>
    <w:basedOn w:val="789"/>
    <w:next w:val="789"/>
    <w:link w:val="843"/>
    <w:uiPriority w:val="11"/>
    <w:qFormat/>
    <w:pPr>
      <w:spacing w:before="200" w:after="200"/>
    </w:pPr>
    <w:rPr>
      <w:sz w:val="24"/>
      <w:szCs w:val="24"/>
    </w:rPr>
  </w:style>
  <w:style w:type="paragraph" w:styleId="818">
    <w:name w:val="footnote text"/>
    <w:basedOn w:val="789"/>
    <w:link w:val="976"/>
    <w:uiPriority w:val="99"/>
    <w:semiHidden/>
    <w:unhideWhenUsed/>
    <w:qFormat/>
    <w:pPr>
      <w:spacing w:after="40" w:line="240" w:lineRule="auto"/>
    </w:pPr>
    <w:rPr>
      <w:sz w:val="18"/>
    </w:rPr>
  </w:style>
  <w:style w:type="paragraph" w:styleId="819">
    <w:name w:val="toc 6"/>
    <w:basedOn w:val="789"/>
    <w:next w:val="789"/>
    <w:uiPriority w:val="39"/>
    <w:unhideWhenUsed/>
    <w:qFormat/>
    <w:pPr>
      <w:ind w:left="1417" w:right="0" w:firstLine="0"/>
      <w:spacing w:after="57"/>
    </w:pPr>
  </w:style>
  <w:style w:type="paragraph" w:styleId="820">
    <w:name w:val="table of figures"/>
    <w:basedOn w:val="789"/>
    <w:next w:val="789"/>
    <w:uiPriority w:val="99"/>
    <w:unhideWhenUsed/>
    <w:qFormat/>
    <w:pPr>
      <w:spacing w:after="0" w:afterAutospacing="0"/>
    </w:pPr>
  </w:style>
  <w:style w:type="paragraph" w:styleId="821">
    <w:name w:val="toc 2"/>
    <w:basedOn w:val="789"/>
    <w:next w:val="789"/>
    <w:uiPriority w:val="39"/>
    <w:unhideWhenUsed/>
    <w:qFormat/>
    <w:pPr>
      <w:ind w:left="283" w:right="0" w:firstLine="0"/>
      <w:spacing w:after="57"/>
    </w:pPr>
  </w:style>
  <w:style w:type="paragraph" w:styleId="822">
    <w:name w:val="toc 9"/>
    <w:basedOn w:val="789"/>
    <w:next w:val="789"/>
    <w:uiPriority w:val="39"/>
    <w:unhideWhenUsed/>
    <w:qFormat/>
    <w:pPr>
      <w:ind w:left="2268" w:right="0" w:firstLine="0"/>
      <w:spacing w:after="57"/>
    </w:pPr>
  </w:style>
  <w:style w:type="paragraph" w:styleId="823">
    <w:name w:val="List Continue 2"/>
    <w:basedOn w:val="789"/>
    <w:next w:val="789"/>
    <w:uiPriority w:val="0"/>
    <w:qFormat/>
    <w:pPr>
      <w:ind w:left="840"/>
      <w:spacing w:after="120"/>
    </w:pPr>
    <w:rPr>
      <w:rFonts w:eastAsia="宋体"/>
    </w:rPr>
  </w:style>
  <w:style w:type="paragraph" w:styleId="824">
    <w:name w:val="HTML Preformatted"/>
    <w:basedOn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5">
    <w:name w:val="Normal (Web)"/>
    <w:uiPriority w:val="99"/>
    <w:unhideWhenUsed/>
    <w:qFormat/>
    <w:pPr>
      <w:ind w:left="0" w:right="0"/>
      <w:jc w:val="left"/>
      <w:spacing w:before="100" w:beforeAutospacing="1" w:after="100" w:afterAutospacing="1"/>
      <w:widowControl w:val="off"/>
    </w:pPr>
    <w:rPr>
      <w:rFonts w:hint="default" w:ascii="Calibri" w:hAnsi="Calibri" w:eastAsia="宋体" w:cs="Times New Roman"/>
      <w:sz w:val="24"/>
      <w:szCs w:val="22"/>
      <w:lang w:val="en-US" w:eastAsia="zh-CN" w:bidi="ar"/>
    </w:rPr>
  </w:style>
  <w:style w:type="paragraph" w:styleId="826">
    <w:name w:val="Title"/>
    <w:basedOn w:val="789"/>
    <w:next w:val="789"/>
    <w:link w:val="842"/>
    <w:uiPriority w:val="10"/>
    <w:qFormat/>
    <w:pPr>
      <w:contextualSpacing/>
      <w:spacing w:before="300" w:after="200"/>
    </w:pPr>
    <w:rPr>
      <w:sz w:val="48"/>
      <w:szCs w:val="48"/>
    </w:rPr>
  </w:style>
  <w:style w:type="table" w:styleId="827">
    <w:name w:val="Table Grid"/>
    <w:basedOn w:val="8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endnote reference"/>
    <w:basedOn w:val="799"/>
    <w:uiPriority w:val="99"/>
    <w:semiHidden/>
    <w:unhideWhenUsed/>
    <w:qFormat/>
    <w:rPr>
      <w:vertAlign w:val="superscript"/>
    </w:rPr>
  </w:style>
  <w:style w:type="character" w:styleId="829">
    <w:name w:val="Hyperlink"/>
    <w:uiPriority w:val="99"/>
    <w:qFormat/>
    <w:rPr>
      <w:color w:val="0000ff"/>
      <w:u w:val="none"/>
    </w:rPr>
  </w:style>
  <w:style w:type="character" w:styleId="830">
    <w:name w:val="annotation reference"/>
    <w:uiPriority w:val="0"/>
    <w:qFormat/>
    <w:rPr>
      <w:sz w:val="21"/>
      <w:szCs w:val="21"/>
    </w:rPr>
  </w:style>
  <w:style w:type="character" w:styleId="831">
    <w:name w:val="footnote reference"/>
    <w:basedOn w:val="799"/>
    <w:uiPriority w:val="99"/>
    <w:unhideWhenUsed/>
    <w:qFormat/>
    <w:rPr>
      <w:vertAlign w:val="superscript"/>
    </w:rPr>
  </w:style>
  <w:style w:type="character" w:styleId="832" w:customStyle="1">
    <w:name w:val="Heading 1 Char"/>
    <w:basedOn w:val="799"/>
    <w:uiPriority w:val="9"/>
    <w:qFormat/>
    <w:rPr>
      <w:rFonts w:ascii="Arial" w:hAnsi="Arial" w:eastAsia="Arial" w:cs="Arial"/>
      <w:sz w:val="40"/>
      <w:szCs w:val="40"/>
    </w:rPr>
  </w:style>
  <w:style w:type="character" w:styleId="833" w:customStyle="1">
    <w:name w:val="Heading 2 Char"/>
    <w:basedOn w:val="799"/>
    <w:uiPriority w:val="9"/>
    <w:qFormat/>
    <w:rPr>
      <w:rFonts w:ascii="Arial" w:hAnsi="Arial" w:eastAsia="Arial" w:cs="Arial"/>
      <w:sz w:val="34"/>
    </w:rPr>
  </w:style>
  <w:style w:type="character" w:styleId="834" w:customStyle="1">
    <w:name w:val="Heading 3 Char"/>
    <w:basedOn w:val="799"/>
    <w:uiPriority w:val="9"/>
    <w:qFormat/>
    <w:rPr>
      <w:rFonts w:ascii="Arial" w:hAnsi="Arial" w:eastAsia="Arial" w:cs="Arial"/>
      <w:sz w:val="30"/>
      <w:szCs w:val="30"/>
    </w:rPr>
  </w:style>
  <w:style w:type="character" w:styleId="835" w:customStyle="1">
    <w:name w:val="Heading 4 Char"/>
    <w:basedOn w:val="799"/>
    <w:uiPriority w:val="9"/>
    <w:qFormat/>
    <w:rPr>
      <w:rFonts w:ascii="Arial" w:hAnsi="Arial" w:eastAsia="Arial" w:cs="Arial"/>
      <w:b/>
      <w:bCs/>
      <w:sz w:val="26"/>
      <w:szCs w:val="26"/>
    </w:rPr>
  </w:style>
  <w:style w:type="character" w:styleId="836" w:customStyle="1">
    <w:name w:val="Heading 5 Char"/>
    <w:basedOn w:val="799"/>
    <w:link w:val="794"/>
    <w:uiPriority w:val="9"/>
    <w:qFormat/>
    <w:rPr>
      <w:rFonts w:ascii="Arial" w:hAnsi="Arial" w:eastAsia="Arial" w:cs="Arial"/>
      <w:b/>
      <w:bCs/>
      <w:sz w:val="24"/>
      <w:szCs w:val="24"/>
    </w:rPr>
  </w:style>
  <w:style w:type="character" w:styleId="837" w:customStyle="1">
    <w:name w:val="Heading 6 Char"/>
    <w:basedOn w:val="799"/>
    <w:link w:val="795"/>
    <w:uiPriority w:val="9"/>
    <w:qFormat/>
    <w:rPr>
      <w:rFonts w:ascii="Arial" w:hAnsi="Arial" w:eastAsia="Arial" w:cs="Arial"/>
      <w:b/>
      <w:bCs/>
      <w:sz w:val="22"/>
      <w:szCs w:val="22"/>
    </w:rPr>
  </w:style>
  <w:style w:type="character" w:styleId="838" w:customStyle="1">
    <w:name w:val="Heading 7 Char"/>
    <w:basedOn w:val="799"/>
    <w:link w:val="796"/>
    <w:uiPriority w:val="9"/>
    <w:qFormat/>
    <w:rPr>
      <w:rFonts w:ascii="Arial" w:hAnsi="Arial" w:eastAsia="Arial" w:cs="Arial"/>
      <w:b/>
      <w:bCs/>
      <w:i/>
      <w:iCs/>
      <w:sz w:val="22"/>
      <w:szCs w:val="22"/>
    </w:rPr>
  </w:style>
  <w:style w:type="character" w:styleId="839" w:customStyle="1">
    <w:name w:val="Heading 8 Char"/>
    <w:basedOn w:val="799"/>
    <w:link w:val="797"/>
    <w:uiPriority w:val="9"/>
    <w:qFormat/>
    <w:rPr>
      <w:rFonts w:ascii="Arial" w:hAnsi="Arial" w:eastAsia="Arial" w:cs="Arial"/>
      <w:i/>
      <w:iCs/>
      <w:sz w:val="22"/>
      <w:szCs w:val="22"/>
    </w:rPr>
  </w:style>
  <w:style w:type="character" w:styleId="840" w:customStyle="1">
    <w:name w:val="Heading 9 Char"/>
    <w:basedOn w:val="799"/>
    <w:link w:val="798"/>
    <w:uiPriority w:val="9"/>
    <w:qFormat/>
    <w:rPr>
      <w:rFonts w:ascii="Arial" w:hAnsi="Arial" w:eastAsia="Arial" w:cs="Arial"/>
      <w:i/>
      <w:iCs/>
      <w:sz w:val="21"/>
      <w:szCs w:val="21"/>
    </w:r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basedOn w:val="799"/>
    <w:link w:val="826"/>
    <w:uiPriority w:val="10"/>
    <w:qFormat/>
    <w:rPr>
      <w:sz w:val="48"/>
      <w:szCs w:val="48"/>
    </w:rPr>
  </w:style>
  <w:style w:type="character" w:styleId="843" w:customStyle="1">
    <w:name w:val="Subtitle Char"/>
    <w:basedOn w:val="799"/>
    <w:link w:val="817"/>
    <w:uiPriority w:val="11"/>
    <w:qFormat/>
    <w:rPr>
      <w:sz w:val="24"/>
      <w:szCs w:val="24"/>
    </w:rPr>
  </w:style>
  <w:style w:type="paragraph" w:styleId="844">
    <w:name w:val="Quote"/>
    <w:basedOn w:val="789"/>
    <w:next w:val="789"/>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9"/>
    <w:next w:val="789"/>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799"/>
    <w:uiPriority w:val="99"/>
    <w:qFormat/>
  </w:style>
  <w:style w:type="character" w:styleId="849" w:customStyle="1">
    <w:name w:val="Footer Char"/>
    <w:basedOn w:val="799"/>
    <w:uiPriority w:val="99"/>
    <w:qFormat/>
  </w:style>
  <w:style w:type="character" w:styleId="850" w:customStyle="1">
    <w:name w:val="Caption Char"/>
    <w:uiPriority w:val="99"/>
    <w:qFormat/>
  </w:style>
  <w:style w:type="table" w:styleId="851" w:customStyle="1">
    <w:name w:val="Table Grid Light"/>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8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8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8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8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8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8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8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8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8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8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8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8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1"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8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8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8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8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8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8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80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0" w:customStyle="1">
    <w:name w:val="Grid Table 4 - Accent 2"/>
    <w:basedOn w:val="80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1" w:customStyle="1">
    <w:name w:val="Grid Table 4 - Accent 3"/>
    <w:basedOn w:val="80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2" w:customStyle="1">
    <w:name w:val="Grid Table 4 - Accent 4"/>
    <w:basedOn w:val="80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3" w:customStyle="1">
    <w:name w:val="Grid Table 4 - Accent 5"/>
    <w:basedOn w:val="80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4" w:customStyle="1">
    <w:name w:val="Grid Table 4 - Accent 6"/>
    <w:basedOn w:val="80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5"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7" w:customStyle="1">
    <w:name w:val="Grid Table 5 Dark - Accent 2"/>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8" w:customStyle="1">
    <w:name w:val="Grid Table 5 Dark - Accent 3"/>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9" w:customStyle="1">
    <w:name w:val="Grid Table 5 Dark- Accent 4"/>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0" w:customStyle="1">
    <w:name w:val="Grid Table 5 Dark - Accent 5"/>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1" w:customStyle="1">
    <w:name w:val="Grid Table 5 Dark - Accent 6"/>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2"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80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8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80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8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80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8" w:customStyle="1">
    <w:name w:val="Grid Table 6 Colorful - Accent 6"/>
    <w:basedOn w:val="80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9"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80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80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80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80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80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80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80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80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80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80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80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80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3"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80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5" w:customStyle="1">
    <w:name w:val="List Table 2 - Accent 2"/>
    <w:basedOn w:val="80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6" w:customStyle="1">
    <w:name w:val="List Table 2 - Accent 3"/>
    <w:basedOn w:val="80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7" w:customStyle="1">
    <w:name w:val="List Table 2 - Accent 4"/>
    <w:basedOn w:val="80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8" w:customStyle="1">
    <w:name w:val="List Table 2 - Accent 5"/>
    <w:basedOn w:val="80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9" w:customStyle="1">
    <w:name w:val="List Table 2 - Accent 6"/>
    <w:basedOn w:val="80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0"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80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3 - Accent 2"/>
    <w:basedOn w:val="8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80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8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80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80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7"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80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9" w:customStyle="1">
    <w:name w:val="List Table 4 - Accent 2"/>
    <w:basedOn w:val="80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0" w:customStyle="1">
    <w:name w:val="List Table 4 - Accent 3"/>
    <w:basedOn w:val="80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1" w:customStyle="1">
    <w:name w:val="List Table 4 - Accent 4"/>
    <w:basedOn w:val="80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2" w:customStyle="1">
    <w:name w:val="List Table 4 - Accent 5"/>
    <w:basedOn w:val="80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3" w:customStyle="1">
    <w:name w:val="List Table 4 - Accent 6"/>
    <w:basedOn w:val="80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4"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80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80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80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80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80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80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80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3" w:customStyle="1">
    <w:name w:val="List Table 6 Colorful - Accent 2"/>
    <w:basedOn w:val="80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4" w:customStyle="1">
    <w:name w:val="List Table 6 Colorful - Accent 3"/>
    <w:basedOn w:val="80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5" w:customStyle="1">
    <w:name w:val="List Table 6 Colorful - Accent 4"/>
    <w:basedOn w:val="80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6" w:customStyle="1">
    <w:name w:val="List Table 6 Colorful - Accent 5"/>
    <w:basedOn w:val="80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7" w:customStyle="1">
    <w:name w:val="List Table 6 Colorful - Accent 6"/>
    <w:basedOn w:val="80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8"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80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80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80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80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80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80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Lined - Accent 2"/>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Lined - Accent 3"/>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Lined - Accent 4"/>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Lined - Accent 5"/>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Lined - Accent 6"/>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amp; Lined - Accent"/>
    <w:basedOn w:val="8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80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Bordered &amp; Lined - Accent 2"/>
    <w:basedOn w:val="80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Bordered &amp; Lined - Accent 3"/>
    <w:basedOn w:val="80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Bordered &amp; Lined - Accent 4"/>
    <w:basedOn w:val="80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Bordered &amp; Lined - Accent 5"/>
    <w:basedOn w:val="80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Bordered &amp; Lined - Accent 6"/>
    <w:basedOn w:val="80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w:basedOn w:val="8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8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1" w:customStyle="1">
    <w:name w:val="Bordered - Accent 2"/>
    <w:basedOn w:val="8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2" w:customStyle="1">
    <w:name w:val="Bordered - Accent 3"/>
    <w:basedOn w:val="8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3" w:customStyle="1">
    <w:name w:val="Bordered - Accent 4"/>
    <w:basedOn w:val="8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4" w:customStyle="1">
    <w:name w:val="Bordered - Accent 5"/>
    <w:basedOn w:val="8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5" w:customStyle="1">
    <w:name w:val="Bordered - Accent 6"/>
    <w:basedOn w:val="8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6" w:customStyle="1">
    <w:name w:val="Footnote Text Char"/>
    <w:link w:val="818"/>
    <w:uiPriority w:val="99"/>
    <w:qFormat/>
    <w:rPr>
      <w:sz w:val="18"/>
    </w:rPr>
  </w:style>
  <w:style w:type="character" w:styleId="977" w:customStyle="1">
    <w:name w:val="Endnote Text Char"/>
    <w:link w:val="812"/>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Table Text"/>
    <w:basedOn w:val="789"/>
    <w:uiPriority w:val="0"/>
    <w:semiHidden/>
    <w:qFormat/>
    <w:rPr>
      <w:rFonts w:ascii="宋体" w:hAnsi="宋体" w:eastAsia="宋体" w:cs="宋体"/>
      <w:sz w:val="24"/>
      <w:szCs w:val="24"/>
      <w:lang w:eastAsia="en-US"/>
    </w:r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82" w:customStyle="1">
    <w:name w:val="Char"/>
    <w:basedOn w:val="789"/>
    <w:uiPriority w:val="0"/>
    <w:qFormat/>
    <w:pPr>
      <w:ind w:firstLine="200"/>
      <w:tabs>
        <w:tab w:val="left" w:pos="360" w:leader="none"/>
      </w:tabs>
    </w:pPr>
    <w:rPr>
      <w:sz w:val="28"/>
      <w:szCs w:val="30"/>
    </w:rPr>
  </w:style>
  <w:style w:type="paragraph" w:styleId="983"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984">
    <w:name w:val="List Paragraph"/>
    <w:basedOn w:val="789"/>
    <w:uiPriority w:val="0"/>
    <w:qFormat/>
    <w:pPr>
      <w:ind w:firstLine="420"/>
    </w:pPr>
    <w:rPr>
      <w:rFonts w:ascii="Calibri" w:hAnsi="Calibri"/>
    </w:rPr>
  </w:style>
  <w:style w:type="paragraph" w:styleId="985" w:customStyle="1">
    <w:name w:val="段落大意"/>
    <w:uiPriority w:val="0"/>
    <w:qFormat/>
    <w:pPr>
      <w:ind w:firstLine="200"/>
      <w:jc w:val="both"/>
      <w:spacing w:line="300" w:lineRule="auto"/>
    </w:pPr>
    <w:rPr>
      <w:rFonts w:hint="default" w:ascii="方正中等线简体" w:hAnsi="方正中等线简体" w:eastAsia="方正中等线简体" w:cs="方正中等线简体"/>
      <w:sz w:val="21"/>
      <w:szCs w:val="22"/>
      <w:lang w:val="en-US" w:eastAsia="zh-CN" w:bidi="ar-SA"/>
    </w:rPr>
  </w:style>
  <w:style w:type="paragraph" w:styleId="986" w:customStyle="1">
    <w:name w:val="列表段落1"/>
    <w:basedOn w:val="789"/>
    <w:uiPriority w:val="99"/>
    <w:qFormat/>
    <w:pPr>
      <w:ind w:firstLine="420"/>
      <w:jc w:val="left"/>
    </w:pPr>
    <w:rPr>
      <w:rFonts w:ascii="宋体" w:hAnsi="宋体" w:eastAsia="宋体" w:cs="宋体"/>
      <w:sz w:val="22"/>
      <w:lang w:val="zh-CN" w:bidi="zh-CN"/>
    </w:rPr>
  </w:style>
  <w:style w:type="paragraph" w:styleId="987" w:customStyle="1">
    <w:name w:val="列出段落4"/>
    <w:basedOn w:val="789"/>
    <w:uiPriority w:val="99"/>
    <w:unhideWhenUsed/>
    <w:qFormat/>
    <w:pPr>
      <w:ind w:firstLine="420"/>
    </w:pPr>
    <w:rPr>
      <w:rFonts w:ascii="Calibri" w:hAnsi="Calibri" w:eastAsia="楷体"/>
    </w:rPr>
  </w:style>
  <w:style w:type="character" w:styleId="988" w:customStyle="1">
    <w:name w:val="font41"/>
    <w:uiPriority w:val="0"/>
    <w:qFormat/>
    <w:rPr>
      <w:rFonts w:hint="eastAsia" w:ascii="宋体" w:hAnsi="宋体" w:eastAsia="宋体" w:cs="宋体"/>
      <w:color w:val="000000"/>
      <w:sz w:val="24"/>
      <w:szCs w:val="24"/>
      <w:u w:val="none"/>
    </w:rPr>
  </w:style>
  <w:style w:type="paragraph" w:styleId="989" w:customStyle="1">
    <w:name w:val="HTML 预设格式1"/>
    <w:basedOn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0" w:customStyle="1">
    <w:name w:val="段"/>
    <w:next w:val="789"/>
    <w:uiPriority w:val="0"/>
    <w:qFormat/>
    <w:pPr>
      <w:ind w:firstLine="200"/>
      <w:jc w:val="both"/>
    </w:pPr>
    <w:rPr>
      <w:rFonts w:hint="default" w:ascii="宋体" w:hAnsi="Calibri" w:eastAsia="宋体" w:cs="Times New Roman"/>
      <w:sz w:val="21"/>
      <w:lang w:val="en-US" w:eastAsia="zh-CN" w:bidi="ar-SA"/>
    </w:rPr>
  </w:style>
  <w:style w:type="paragraph" w:styleId="991" w:customStyle="1">
    <w:name w:val="纯文本1"/>
    <w:basedOn w:val="789"/>
    <w:uiPriority w:val="0"/>
    <w:qFormat/>
    <w:pPr>
      <w:ind w:firstLine="922"/>
      <w:spacing w:line="360" w:lineRule="auto"/>
    </w:pPr>
    <w:rPr>
      <w:rFonts w:ascii="宋体" w:hAnsi="Courier New" w:eastAsia="宋体" w:cs="Times New Roman"/>
      <w:szCs w:val="24"/>
    </w:rPr>
  </w:style>
  <w:style w:type="numbering" w:styleId="7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王倩</cp:lastModifiedBy>
  <cp:revision>107</cp:revision>
  <dcterms:created xsi:type="dcterms:W3CDTF">2024-04-18T07:05:00Z</dcterms:created>
  <dcterms:modified xsi:type="dcterms:W3CDTF">2025-12-05T01:54:07Z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73E35CB42D7645828287EB28E546D79F_13</vt:lpwstr>
  </property>
  <property fmtid="{D5CDD505-2E9C-101B-9397-08002B2CF9AE}" pid="4" name="KSOTemplateDocerSaveRecord">
    <vt:lpwstr>eyJoZGlkIjoiZGMyNDAyMTFkZDVkYTdmMTUwMjk4NTIzNTEyZWQzMDIiLCJ1c2VySWQiOiIyNjYzMTU1MTkifQ==</vt:lpwstr>
  </property>
</Properties>
</file>